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96643296"/>
        <w:docPartObj>
          <w:docPartGallery w:val="Cover Pages"/>
          <w:docPartUnique/>
        </w:docPartObj>
      </w:sdtPr>
      <w:sdtContent>
        <w:p w:rsidR="00C37BF3" w:rsidRDefault="00C37BF3"/>
        <w:p w:rsidR="00C37BF3" w:rsidRDefault="00C37BF3"/>
        <w:p w:rsidR="00C37BF3" w:rsidRDefault="00C37BF3" w:rsidP="009955E8">
          <w:pPr>
            <w:tabs>
              <w:tab w:val="right" w:pos="9026"/>
            </w:tabs>
          </w:pPr>
        </w:p>
        <w:tbl>
          <w:tblPr>
            <w:tblpPr w:leftFromText="187" w:rightFromText="187" w:vertAnchor="page" w:horzAnchor="margin" w:tblpY="4901"/>
            <w:tblW w:w="4350" w:type="pct"/>
            <w:tblLook w:val="04A0" w:firstRow="1" w:lastRow="0" w:firstColumn="1" w:lastColumn="0" w:noHBand="0" w:noVBand="1"/>
          </w:tblPr>
          <w:tblGrid>
            <w:gridCol w:w="8053"/>
          </w:tblGrid>
          <w:tr w:rsidR="00C37BF3" w:rsidTr="0072782E">
            <w:sdt>
              <w:sdtPr>
                <w:rPr>
                  <w:color w:val="auto"/>
                </w:rPr>
                <w:alias w:val="Company"/>
                <w:id w:val="13406915"/>
                <w:dataBinding w:prefixMappings="xmlns:ns0='http://schemas.openxmlformats.org/officeDocument/2006/extended-properties'" w:xpath="/ns0:Properties[1]/ns0:Company[1]" w:storeItemID="{6668398D-A668-4E3E-A5EB-62B293D839F1}"/>
                <w:text/>
              </w:sdtPr>
              <w:sdtContent>
                <w:tc>
                  <w:tcPr>
                    <w:tcW w:w="8053" w:type="dxa"/>
                    <w:tcMar>
                      <w:top w:w="216" w:type="dxa"/>
                      <w:left w:w="115" w:type="dxa"/>
                      <w:bottom w:w="216" w:type="dxa"/>
                      <w:right w:w="115" w:type="dxa"/>
                    </w:tcMar>
                  </w:tcPr>
                  <w:p w:rsidR="00C37BF3" w:rsidRPr="00E169E0" w:rsidRDefault="000B3871" w:rsidP="000B3871">
                    <w:pPr>
                      <w:pStyle w:val="Heading1"/>
                      <w:framePr w:hSpace="0" w:wrap="auto" w:vAnchor="margin" w:hAnchor="text" w:yAlign="inline"/>
                    </w:pPr>
                    <w:r w:rsidRPr="000B3871">
                      <w:rPr>
                        <w:color w:val="auto"/>
                      </w:rPr>
                      <w:t>Paragon Asra H</w:t>
                    </w:r>
                    <w:r w:rsidR="00C37BF3" w:rsidRPr="000B3871">
                      <w:rPr>
                        <w:color w:val="auto"/>
                      </w:rPr>
                      <w:t>ousing</w:t>
                    </w:r>
                    <w:r w:rsidRPr="000B3871">
                      <w:rPr>
                        <w:color w:val="auto"/>
                      </w:rPr>
                      <w:t xml:space="preserve"> Limited</w:t>
                    </w:r>
                  </w:p>
                </w:tc>
              </w:sdtContent>
            </w:sdt>
          </w:tr>
          <w:tr w:rsidR="00C37BF3" w:rsidTr="0072782E">
            <w:tc>
              <w:tcPr>
                <w:tcW w:w="8053" w:type="dxa"/>
              </w:tcPr>
              <w:sdt>
                <w:sdtPr>
                  <w:rPr>
                    <w:color w:val="auto"/>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C37BF3" w:rsidRPr="00544920" w:rsidRDefault="00286A76" w:rsidP="00286A76">
                    <w:pPr>
                      <w:pStyle w:val="Title"/>
                      <w:framePr w:hSpace="0" w:wrap="auto" w:vAnchor="margin" w:hAnchor="text" w:yAlign="inline"/>
                      <w:rPr>
                        <w:sz w:val="110"/>
                        <w:szCs w:val="110"/>
                      </w:rPr>
                    </w:pPr>
                    <w:r>
                      <w:rPr>
                        <w:color w:val="auto"/>
                        <w:lang w:val="en-GB"/>
                      </w:rPr>
                      <w:t>PA Housing Allocations Policy</w:t>
                    </w:r>
                  </w:p>
                </w:sdtContent>
              </w:sdt>
            </w:tc>
          </w:tr>
          <w:tr w:rsidR="00C37BF3" w:rsidTr="0072782E">
            <w:sdt>
              <w:sdtPr>
                <w:rPr>
                  <w:rFonts w:ascii="Arial" w:eastAsiaTheme="majorEastAsia" w:hAnsi="Arial" w:cs="Arial"/>
                  <w:sz w:val="28"/>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8053" w:type="dxa"/>
                    <w:tcMar>
                      <w:top w:w="216" w:type="dxa"/>
                      <w:left w:w="115" w:type="dxa"/>
                      <w:bottom w:w="216" w:type="dxa"/>
                      <w:right w:w="115" w:type="dxa"/>
                    </w:tcMar>
                  </w:tcPr>
                  <w:p w:rsidR="00C37BF3" w:rsidRPr="00544920" w:rsidRDefault="00286A76" w:rsidP="00286A76">
                    <w:pPr>
                      <w:pStyle w:val="NoSpacing"/>
                      <w:rPr>
                        <w:rFonts w:ascii="Arial" w:eastAsiaTheme="majorEastAsia" w:hAnsi="Arial" w:cs="Arial"/>
                        <w:color w:val="06A6CE"/>
                        <w:sz w:val="28"/>
                      </w:rPr>
                    </w:pPr>
                    <w:r>
                      <w:rPr>
                        <w:rFonts w:ascii="Arial" w:eastAsiaTheme="majorEastAsia" w:hAnsi="Arial" w:cs="Arial"/>
                        <w:sz w:val="28"/>
                      </w:rPr>
                      <w:t>June 2017</w:t>
                    </w:r>
                  </w:p>
                </w:tc>
              </w:sdtContent>
            </w:sdt>
          </w:tr>
        </w:tbl>
        <w:p w:rsidR="00B41358" w:rsidRDefault="0010667E" w:rsidP="00C37BF3"/>
      </w:sdtContent>
    </w:sdt>
    <w:tbl>
      <w:tblPr>
        <w:tblStyle w:val="TableGrid"/>
        <w:tblpPr w:leftFromText="180" w:rightFromText="180" w:vertAnchor="text" w:horzAnchor="margin" w:tblpY="10330"/>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652"/>
        <w:gridCol w:w="5812"/>
      </w:tblGrid>
      <w:tr w:rsidR="000B3871" w:rsidRPr="000B3871" w:rsidTr="0010667E">
        <w:tc>
          <w:tcPr>
            <w:tcW w:w="3652" w:type="dxa"/>
            <w:vAlign w:val="center"/>
          </w:tcPr>
          <w:p w:rsidR="00B41358" w:rsidRPr="000B3871" w:rsidRDefault="00E85E9A" w:rsidP="0067671B">
            <w:pPr>
              <w:rPr>
                <w:rFonts w:cs="Arial"/>
                <w:b/>
              </w:rPr>
            </w:pPr>
            <w:r>
              <w:rPr>
                <w:rFonts w:cs="Arial"/>
                <w:b/>
              </w:rPr>
              <w:t>Owning manager</w:t>
            </w:r>
          </w:p>
        </w:tc>
        <w:tc>
          <w:tcPr>
            <w:tcW w:w="5812" w:type="dxa"/>
            <w:vAlign w:val="center"/>
          </w:tcPr>
          <w:p w:rsidR="00B41358" w:rsidRPr="000B3871" w:rsidRDefault="00286A76" w:rsidP="00976657">
            <w:pPr>
              <w:rPr>
                <w:rFonts w:cs="Arial"/>
              </w:rPr>
            </w:pPr>
            <w:r>
              <w:rPr>
                <w:rFonts w:cs="Arial"/>
              </w:rPr>
              <w:t>Anna Henderson, Lettings and Housing Moves Manager</w:t>
            </w:r>
          </w:p>
        </w:tc>
      </w:tr>
      <w:tr w:rsidR="000B3871" w:rsidRPr="000B3871" w:rsidTr="0010667E">
        <w:tc>
          <w:tcPr>
            <w:tcW w:w="3652" w:type="dxa"/>
            <w:shd w:val="clear" w:color="auto" w:fill="F2F2F2" w:themeFill="background1" w:themeFillShade="F2"/>
            <w:vAlign w:val="center"/>
          </w:tcPr>
          <w:p w:rsidR="00B41358" w:rsidRPr="000B3871" w:rsidRDefault="00B41358" w:rsidP="0067671B">
            <w:pPr>
              <w:rPr>
                <w:rFonts w:cs="Arial"/>
                <w:b/>
              </w:rPr>
            </w:pPr>
            <w:r w:rsidRPr="000B3871">
              <w:rPr>
                <w:rFonts w:cs="Arial"/>
                <w:b/>
              </w:rPr>
              <w:t>Department</w:t>
            </w:r>
          </w:p>
        </w:tc>
        <w:tc>
          <w:tcPr>
            <w:tcW w:w="5812" w:type="dxa"/>
            <w:shd w:val="clear" w:color="auto" w:fill="F2F2F2" w:themeFill="background1" w:themeFillShade="F2"/>
            <w:vAlign w:val="center"/>
          </w:tcPr>
          <w:p w:rsidR="00B41358" w:rsidRPr="000B3871" w:rsidRDefault="00286A76" w:rsidP="0067671B">
            <w:pPr>
              <w:rPr>
                <w:rFonts w:cs="Arial"/>
              </w:rPr>
            </w:pPr>
            <w:r>
              <w:rPr>
                <w:rFonts w:cs="Arial"/>
              </w:rPr>
              <w:t>Housing Services</w:t>
            </w:r>
          </w:p>
        </w:tc>
      </w:tr>
      <w:tr w:rsidR="000B3871" w:rsidRPr="000B3871" w:rsidTr="0010667E">
        <w:tc>
          <w:tcPr>
            <w:tcW w:w="3652" w:type="dxa"/>
            <w:vAlign w:val="center"/>
          </w:tcPr>
          <w:p w:rsidR="00B41358" w:rsidRPr="000B3871" w:rsidRDefault="00995005" w:rsidP="0067671B">
            <w:pPr>
              <w:rPr>
                <w:rFonts w:cs="Arial"/>
                <w:b/>
              </w:rPr>
            </w:pPr>
            <w:r>
              <w:rPr>
                <w:rFonts w:cs="Arial"/>
                <w:b/>
              </w:rPr>
              <w:t>Approved by</w:t>
            </w:r>
          </w:p>
        </w:tc>
        <w:tc>
          <w:tcPr>
            <w:tcW w:w="5812" w:type="dxa"/>
            <w:vAlign w:val="center"/>
          </w:tcPr>
          <w:p w:rsidR="00B41358" w:rsidRPr="000B3871" w:rsidRDefault="00286A76" w:rsidP="000B3871">
            <w:pPr>
              <w:rPr>
                <w:rFonts w:cs="Arial"/>
              </w:rPr>
            </w:pPr>
            <w:r>
              <w:rPr>
                <w:rFonts w:cs="Arial"/>
              </w:rPr>
              <w:t>Policy Review Group</w:t>
            </w:r>
          </w:p>
        </w:tc>
      </w:tr>
      <w:tr w:rsidR="000B3871" w:rsidRPr="000B3871" w:rsidTr="0010667E">
        <w:tc>
          <w:tcPr>
            <w:tcW w:w="3652" w:type="dxa"/>
            <w:shd w:val="clear" w:color="auto" w:fill="F2F2F2" w:themeFill="background1" w:themeFillShade="F2"/>
            <w:vAlign w:val="center"/>
          </w:tcPr>
          <w:p w:rsidR="00B41358" w:rsidRPr="000B3871" w:rsidRDefault="00995005" w:rsidP="009347C3">
            <w:pPr>
              <w:rPr>
                <w:rFonts w:cs="Arial"/>
                <w:b/>
              </w:rPr>
            </w:pPr>
            <w:r>
              <w:rPr>
                <w:rFonts w:cs="Arial"/>
                <w:b/>
              </w:rPr>
              <w:t>Next review date</w:t>
            </w:r>
          </w:p>
        </w:tc>
        <w:tc>
          <w:tcPr>
            <w:tcW w:w="5812" w:type="dxa"/>
            <w:shd w:val="clear" w:color="auto" w:fill="F2F2F2" w:themeFill="background1" w:themeFillShade="F2"/>
            <w:vAlign w:val="center"/>
          </w:tcPr>
          <w:p w:rsidR="00B41358" w:rsidRPr="000B3871" w:rsidRDefault="00286A76" w:rsidP="009347C3">
            <w:pPr>
              <w:rPr>
                <w:rFonts w:cs="Arial"/>
              </w:rPr>
            </w:pPr>
            <w:r>
              <w:rPr>
                <w:rFonts w:cs="Arial"/>
              </w:rPr>
              <w:t>April 2018</w:t>
            </w:r>
          </w:p>
        </w:tc>
      </w:tr>
    </w:tbl>
    <w:p w:rsidR="00D30E79" w:rsidRDefault="00D30E79" w:rsidP="00C37BF3"/>
    <w:p w:rsidR="00D30E79" w:rsidRDefault="00D30E79">
      <w:r>
        <w:rPr>
          <w:noProof/>
          <w:lang w:eastAsia="en-GB"/>
        </w:rPr>
        <mc:AlternateContent>
          <mc:Choice Requires="wps">
            <w:drawing>
              <wp:anchor distT="0" distB="0" distL="114300" distR="114300" simplePos="0" relativeHeight="251661312" behindDoc="0" locked="0" layoutInCell="1" allowOverlap="1" wp14:anchorId="40149F57" wp14:editId="40149F58">
                <wp:simplePos x="0" y="0"/>
                <wp:positionH relativeFrom="column">
                  <wp:posOffset>-68580</wp:posOffset>
                </wp:positionH>
                <wp:positionV relativeFrom="paragraph">
                  <wp:posOffset>5979795</wp:posOffset>
                </wp:positionV>
                <wp:extent cx="6045835" cy="0"/>
                <wp:effectExtent l="0" t="0" r="12065" b="19050"/>
                <wp:wrapNone/>
                <wp:docPr id="5" name="Straight Connector 5"/>
                <wp:cNvGraphicFramePr/>
                <a:graphic xmlns:a="http://schemas.openxmlformats.org/drawingml/2006/main">
                  <a:graphicData uri="http://schemas.microsoft.com/office/word/2010/wordprocessingShape">
                    <wps:wsp>
                      <wps:cNvCnPr/>
                      <wps:spPr>
                        <a:xfrm>
                          <a:off x="0" y="0"/>
                          <a:ext cx="6045835" cy="0"/>
                        </a:xfrm>
                        <a:prstGeom prst="line">
                          <a:avLst/>
                        </a:prstGeom>
                        <a:ln>
                          <a:solidFill>
                            <a:srgbClr val="00397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470.85pt" to="470.65pt,4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" strokecolor="#00397f"/>
            </w:pict>
          </mc:Fallback>
        </mc:AlternateContent>
      </w:r>
      <w:r>
        <w:br w:type="page"/>
      </w:r>
    </w:p>
    <w:p w:rsidR="00D30E79" w:rsidRPr="00580923" w:rsidRDefault="00D30E79" w:rsidP="000874F2">
      <w:pPr>
        <w:pStyle w:val="Heading1"/>
        <w:framePr w:wrap="around" w:hAnchor="page" w:x="1297" w:y="1033"/>
        <w:rPr>
          <w:color w:val="auto"/>
          <w:sz w:val="22"/>
          <w:szCs w:val="22"/>
        </w:rPr>
      </w:pPr>
      <w:r w:rsidRPr="00580923">
        <w:rPr>
          <w:color w:val="auto"/>
          <w:sz w:val="22"/>
          <w:szCs w:val="22"/>
        </w:rPr>
        <w:lastRenderedPageBreak/>
        <w:t>Contents</w:t>
      </w:r>
    </w:p>
    <w:p w:rsidR="00D30E79" w:rsidRPr="000B3871" w:rsidRDefault="00D30E79" w:rsidP="00D30E79">
      <w:pPr>
        <w:spacing w:line="240" w:lineRule="atLeast"/>
        <w:rPr>
          <w:rFonts w:cs="Arial"/>
          <w:b/>
        </w:rPr>
      </w:pPr>
    </w:p>
    <w:tbl>
      <w:tblPr>
        <w:tblStyle w:val="TableGrid"/>
        <w:tblW w:w="0" w:type="auto"/>
        <w:tblBorders>
          <w:top w:val="single" w:sz="4" w:space="0" w:color="1E1E5B"/>
          <w:left w:val="none" w:sz="0" w:space="0" w:color="auto"/>
          <w:bottom w:val="single" w:sz="4" w:space="0" w:color="1E1E5B"/>
          <w:right w:val="none" w:sz="0" w:space="0" w:color="auto"/>
          <w:insideH w:val="single" w:sz="4" w:space="0" w:color="1E1E5B"/>
          <w:insideV w:val="none" w:sz="0" w:space="0" w:color="auto"/>
        </w:tblBorders>
        <w:tblCellMar>
          <w:top w:w="113" w:type="dxa"/>
          <w:bottom w:w="113" w:type="dxa"/>
        </w:tblCellMar>
        <w:tblLook w:val="04A0" w:firstRow="1" w:lastRow="0" w:firstColumn="1" w:lastColumn="0" w:noHBand="0" w:noVBand="1"/>
      </w:tblPr>
      <w:tblGrid>
        <w:gridCol w:w="817"/>
        <w:gridCol w:w="7229"/>
        <w:gridCol w:w="959"/>
      </w:tblGrid>
      <w:tr w:rsidR="000B3871" w:rsidRPr="000B3871" w:rsidTr="00E64EFB">
        <w:tc>
          <w:tcPr>
            <w:tcW w:w="817" w:type="dxa"/>
            <w:tcBorders>
              <w:top w:val="nil"/>
            </w:tcBorders>
            <w:vAlign w:val="center"/>
          </w:tcPr>
          <w:p w:rsidR="00D333E6" w:rsidRPr="000B3871" w:rsidRDefault="00D333E6" w:rsidP="008A1568">
            <w:pPr>
              <w:rPr>
                <w:rFonts w:cs="Arial"/>
                <w:b/>
              </w:rPr>
            </w:pPr>
          </w:p>
        </w:tc>
        <w:tc>
          <w:tcPr>
            <w:tcW w:w="7229" w:type="dxa"/>
            <w:tcBorders>
              <w:top w:val="nil"/>
            </w:tcBorders>
            <w:vAlign w:val="center"/>
          </w:tcPr>
          <w:p w:rsidR="00D333E6" w:rsidRPr="000B3871" w:rsidRDefault="00D333E6" w:rsidP="008A1568">
            <w:pPr>
              <w:rPr>
                <w:rFonts w:cs="Arial"/>
              </w:rPr>
            </w:pPr>
          </w:p>
        </w:tc>
        <w:tc>
          <w:tcPr>
            <w:tcW w:w="959" w:type="dxa"/>
            <w:tcBorders>
              <w:top w:val="nil"/>
            </w:tcBorders>
            <w:vAlign w:val="center"/>
          </w:tcPr>
          <w:p w:rsidR="00D333E6" w:rsidRPr="000B3871" w:rsidRDefault="00E64EFB" w:rsidP="00E64EFB">
            <w:pPr>
              <w:jc w:val="right"/>
              <w:rPr>
                <w:rFonts w:cs="Arial"/>
                <w:b/>
              </w:rPr>
            </w:pPr>
            <w:r w:rsidRPr="000B3871">
              <w:rPr>
                <w:rFonts w:cs="Arial"/>
                <w:b/>
              </w:rPr>
              <w:t>Page</w:t>
            </w:r>
          </w:p>
        </w:tc>
      </w:tr>
      <w:tr w:rsidR="000B3871" w:rsidRPr="000B3871" w:rsidTr="00E64EFB">
        <w:tc>
          <w:tcPr>
            <w:tcW w:w="817" w:type="dxa"/>
            <w:vAlign w:val="center"/>
          </w:tcPr>
          <w:p w:rsidR="008A1568" w:rsidRPr="000B3871" w:rsidRDefault="008A1568" w:rsidP="008A1568">
            <w:pPr>
              <w:rPr>
                <w:rFonts w:cs="Arial"/>
                <w:b/>
              </w:rPr>
            </w:pPr>
            <w:r w:rsidRPr="000B3871">
              <w:rPr>
                <w:rFonts w:cs="Arial"/>
                <w:b/>
              </w:rPr>
              <w:t>1</w:t>
            </w:r>
          </w:p>
        </w:tc>
        <w:tc>
          <w:tcPr>
            <w:tcW w:w="7229" w:type="dxa"/>
            <w:vAlign w:val="center"/>
          </w:tcPr>
          <w:p w:rsidR="008A1568" w:rsidRPr="000B3871" w:rsidRDefault="008A1568" w:rsidP="008A1568">
            <w:pPr>
              <w:rPr>
                <w:rFonts w:cs="Arial"/>
              </w:rPr>
            </w:pPr>
            <w:r w:rsidRPr="000B3871">
              <w:rPr>
                <w:rFonts w:cs="Arial"/>
              </w:rPr>
              <w:t>Introduction</w:t>
            </w:r>
          </w:p>
        </w:tc>
        <w:tc>
          <w:tcPr>
            <w:tcW w:w="959" w:type="dxa"/>
            <w:vAlign w:val="center"/>
          </w:tcPr>
          <w:p w:rsidR="008A1568" w:rsidRPr="000B3871" w:rsidRDefault="00501378" w:rsidP="00E64EFB">
            <w:pPr>
              <w:jc w:val="right"/>
              <w:rPr>
                <w:rFonts w:cs="Arial"/>
              </w:rPr>
            </w:pPr>
            <w:r>
              <w:rPr>
                <w:rFonts w:cs="Arial"/>
              </w:rPr>
              <w:t>3</w:t>
            </w:r>
          </w:p>
        </w:tc>
      </w:tr>
      <w:tr w:rsidR="000B3871" w:rsidRPr="000B3871" w:rsidTr="00E64EFB">
        <w:tc>
          <w:tcPr>
            <w:tcW w:w="817" w:type="dxa"/>
            <w:vAlign w:val="center"/>
          </w:tcPr>
          <w:p w:rsidR="008A1568" w:rsidRPr="000B3871" w:rsidRDefault="008A1568" w:rsidP="008A1568">
            <w:pPr>
              <w:rPr>
                <w:rFonts w:cs="Arial"/>
                <w:b/>
              </w:rPr>
            </w:pPr>
            <w:r w:rsidRPr="000B3871">
              <w:rPr>
                <w:rFonts w:cs="Arial"/>
                <w:b/>
              </w:rPr>
              <w:t>2</w:t>
            </w:r>
          </w:p>
        </w:tc>
        <w:tc>
          <w:tcPr>
            <w:tcW w:w="7229" w:type="dxa"/>
            <w:vAlign w:val="center"/>
          </w:tcPr>
          <w:p w:rsidR="008A1568" w:rsidRPr="000B3871" w:rsidRDefault="008A1568" w:rsidP="008A1568">
            <w:pPr>
              <w:rPr>
                <w:rFonts w:cs="Arial"/>
              </w:rPr>
            </w:pPr>
            <w:r w:rsidRPr="000B3871">
              <w:rPr>
                <w:rFonts w:cs="Arial"/>
              </w:rPr>
              <w:t>Objectives</w:t>
            </w:r>
          </w:p>
        </w:tc>
        <w:tc>
          <w:tcPr>
            <w:tcW w:w="959" w:type="dxa"/>
            <w:vAlign w:val="center"/>
          </w:tcPr>
          <w:p w:rsidR="008A1568" w:rsidRPr="000B3871" w:rsidRDefault="00501378" w:rsidP="00E64EFB">
            <w:pPr>
              <w:jc w:val="right"/>
              <w:rPr>
                <w:rFonts w:cs="Arial"/>
              </w:rPr>
            </w:pPr>
            <w:r>
              <w:rPr>
                <w:rFonts w:cs="Arial"/>
              </w:rPr>
              <w:t>3</w:t>
            </w:r>
          </w:p>
        </w:tc>
      </w:tr>
      <w:tr w:rsidR="000B3871" w:rsidRPr="000B3871" w:rsidTr="00E64EFB">
        <w:tc>
          <w:tcPr>
            <w:tcW w:w="817" w:type="dxa"/>
            <w:vAlign w:val="center"/>
          </w:tcPr>
          <w:p w:rsidR="008A1568" w:rsidRPr="000B3871" w:rsidRDefault="008A1568" w:rsidP="008A1568">
            <w:pPr>
              <w:rPr>
                <w:rFonts w:cs="Arial"/>
                <w:b/>
              </w:rPr>
            </w:pPr>
            <w:r w:rsidRPr="000B3871">
              <w:rPr>
                <w:rFonts w:cs="Arial"/>
                <w:b/>
              </w:rPr>
              <w:t>3</w:t>
            </w:r>
          </w:p>
        </w:tc>
        <w:tc>
          <w:tcPr>
            <w:tcW w:w="7229" w:type="dxa"/>
            <w:vAlign w:val="center"/>
          </w:tcPr>
          <w:p w:rsidR="008A1568" w:rsidRPr="000B3871" w:rsidRDefault="00976657" w:rsidP="008A1568">
            <w:pPr>
              <w:rPr>
                <w:rFonts w:cs="Arial"/>
              </w:rPr>
            </w:pPr>
            <w:r w:rsidRPr="000B3871">
              <w:rPr>
                <w:rFonts w:cs="Arial"/>
              </w:rPr>
              <w:t>Definitions</w:t>
            </w:r>
          </w:p>
        </w:tc>
        <w:tc>
          <w:tcPr>
            <w:tcW w:w="959" w:type="dxa"/>
            <w:vAlign w:val="center"/>
          </w:tcPr>
          <w:p w:rsidR="008A1568" w:rsidRPr="000B3871" w:rsidRDefault="00501378" w:rsidP="00E64EFB">
            <w:pPr>
              <w:jc w:val="right"/>
              <w:rPr>
                <w:rFonts w:cs="Arial"/>
              </w:rPr>
            </w:pPr>
            <w:r>
              <w:rPr>
                <w:rFonts w:cs="Arial"/>
              </w:rPr>
              <w:t>4</w:t>
            </w:r>
          </w:p>
        </w:tc>
      </w:tr>
      <w:tr w:rsidR="000B3871" w:rsidRPr="000B3871" w:rsidTr="00E64EFB">
        <w:tc>
          <w:tcPr>
            <w:tcW w:w="817" w:type="dxa"/>
            <w:vAlign w:val="center"/>
          </w:tcPr>
          <w:p w:rsidR="008A1568" w:rsidRPr="000B3871" w:rsidRDefault="008A1568" w:rsidP="008A1568">
            <w:pPr>
              <w:rPr>
                <w:rFonts w:cs="Arial"/>
                <w:b/>
              </w:rPr>
            </w:pPr>
            <w:r w:rsidRPr="000B3871">
              <w:rPr>
                <w:rFonts w:cs="Arial"/>
                <w:b/>
              </w:rPr>
              <w:t>4</w:t>
            </w:r>
          </w:p>
        </w:tc>
        <w:tc>
          <w:tcPr>
            <w:tcW w:w="7229" w:type="dxa"/>
            <w:vAlign w:val="center"/>
          </w:tcPr>
          <w:p w:rsidR="008A1568" w:rsidRPr="000B3871" w:rsidRDefault="000A7226" w:rsidP="008A1568">
            <w:pPr>
              <w:rPr>
                <w:rFonts w:cs="Arial"/>
              </w:rPr>
            </w:pPr>
            <w:r w:rsidRPr="000B3871">
              <w:rPr>
                <w:rFonts w:cs="Arial"/>
              </w:rPr>
              <w:t>Key points of policy</w:t>
            </w:r>
          </w:p>
        </w:tc>
        <w:tc>
          <w:tcPr>
            <w:tcW w:w="959" w:type="dxa"/>
            <w:vAlign w:val="center"/>
          </w:tcPr>
          <w:p w:rsidR="008A1568" w:rsidRPr="000B3871" w:rsidRDefault="00501378" w:rsidP="00E64EFB">
            <w:pPr>
              <w:jc w:val="right"/>
              <w:rPr>
                <w:rFonts w:cs="Arial"/>
              </w:rPr>
            </w:pPr>
            <w:r>
              <w:rPr>
                <w:rFonts w:cs="Arial"/>
              </w:rPr>
              <w:t>4</w:t>
            </w:r>
          </w:p>
        </w:tc>
      </w:tr>
      <w:tr w:rsidR="000B3871" w:rsidRPr="000B3871" w:rsidTr="00E64EFB">
        <w:tc>
          <w:tcPr>
            <w:tcW w:w="817" w:type="dxa"/>
            <w:vAlign w:val="center"/>
          </w:tcPr>
          <w:p w:rsidR="008A1568" w:rsidRPr="000B3871" w:rsidRDefault="008A1568" w:rsidP="008A1568">
            <w:pPr>
              <w:rPr>
                <w:rFonts w:cs="Arial"/>
                <w:b/>
              </w:rPr>
            </w:pPr>
            <w:r w:rsidRPr="000B3871">
              <w:rPr>
                <w:rFonts w:cs="Arial"/>
                <w:b/>
              </w:rPr>
              <w:t>5</w:t>
            </w:r>
          </w:p>
        </w:tc>
        <w:tc>
          <w:tcPr>
            <w:tcW w:w="7229" w:type="dxa"/>
            <w:vAlign w:val="center"/>
          </w:tcPr>
          <w:p w:rsidR="008A1568" w:rsidRPr="000B3871" w:rsidRDefault="009C2384" w:rsidP="000A7226">
            <w:pPr>
              <w:rPr>
                <w:rFonts w:cs="Arial"/>
              </w:rPr>
            </w:pPr>
            <w:r>
              <w:rPr>
                <w:rFonts w:cs="Arial"/>
              </w:rPr>
              <w:t>Wider</w:t>
            </w:r>
            <w:r w:rsidR="00501378">
              <w:rPr>
                <w:rFonts w:cs="Arial"/>
              </w:rPr>
              <w:t xml:space="preserve"> Initiatives</w:t>
            </w:r>
          </w:p>
        </w:tc>
        <w:tc>
          <w:tcPr>
            <w:tcW w:w="959" w:type="dxa"/>
            <w:vAlign w:val="center"/>
          </w:tcPr>
          <w:p w:rsidR="008A1568" w:rsidRPr="000B3871" w:rsidRDefault="00501378" w:rsidP="00E64EFB">
            <w:pPr>
              <w:jc w:val="right"/>
              <w:rPr>
                <w:rFonts w:cs="Arial"/>
              </w:rPr>
            </w:pPr>
            <w:r>
              <w:rPr>
                <w:rFonts w:cs="Arial"/>
              </w:rPr>
              <w:t>9</w:t>
            </w:r>
          </w:p>
        </w:tc>
      </w:tr>
      <w:tr w:rsidR="000B3871" w:rsidRPr="000B3871" w:rsidTr="00E64EFB">
        <w:tc>
          <w:tcPr>
            <w:tcW w:w="817" w:type="dxa"/>
            <w:vAlign w:val="center"/>
          </w:tcPr>
          <w:p w:rsidR="008A1568" w:rsidRPr="000B3871" w:rsidRDefault="008A1568" w:rsidP="008A1568">
            <w:pPr>
              <w:rPr>
                <w:rFonts w:cs="Arial"/>
                <w:b/>
              </w:rPr>
            </w:pPr>
            <w:r w:rsidRPr="000B3871">
              <w:rPr>
                <w:rFonts w:cs="Arial"/>
                <w:b/>
              </w:rPr>
              <w:t>6</w:t>
            </w:r>
          </w:p>
        </w:tc>
        <w:tc>
          <w:tcPr>
            <w:tcW w:w="7229" w:type="dxa"/>
            <w:vAlign w:val="center"/>
          </w:tcPr>
          <w:p w:rsidR="008A1568" w:rsidRPr="000B3871" w:rsidRDefault="00501378" w:rsidP="008A1568">
            <w:pPr>
              <w:rPr>
                <w:rFonts w:cs="Arial"/>
              </w:rPr>
            </w:pPr>
            <w:r>
              <w:rPr>
                <w:rFonts w:cs="Arial"/>
              </w:rPr>
              <w:t>Other Client Groups / Access Routes</w:t>
            </w:r>
          </w:p>
        </w:tc>
        <w:tc>
          <w:tcPr>
            <w:tcW w:w="959" w:type="dxa"/>
            <w:vAlign w:val="center"/>
          </w:tcPr>
          <w:p w:rsidR="008A1568" w:rsidRPr="000B3871" w:rsidRDefault="00501378" w:rsidP="00E64EFB">
            <w:pPr>
              <w:jc w:val="right"/>
              <w:rPr>
                <w:rFonts w:cs="Arial"/>
              </w:rPr>
            </w:pPr>
            <w:r>
              <w:rPr>
                <w:rFonts w:cs="Arial"/>
              </w:rPr>
              <w:t>10</w:t>
            </w:r>
          </w:p>
        </w:tc>
      </w:tr>
      <w:tr w:rsidR="000B3871" w:rsidRPr="000B3871" w:rsidTr="00E64EFB">
        <w:tc>
          <w:tcPr>
            <w:tcW w:w="817" w:type="dxa"/>
            <w:vAlign w:val="center"/>
          </w:tcPr>
          <w:p w:rsidR="008A1568" w:rsidRPr="000B3871" w:rsidRDefault="008A1568" w:rsidP="008A1568">
            <w:pPr>
              <w:rPr>
                <w:rFonts w:cs="Arial"/>
                <w:b/>
              </w:rPr>
            </w:pPr>
            <w:r w:rsidRPr="000B3871">
              <w:rPr>
                <w:rFonts w:cs="Arial"/>
                <w:b/>
              </w:rPr>
              <w:t>7</w:t>
            </w:r>
          </w:p>
        </w:tc>
        <w:tc>
          <w:tcPr>
            <w:tcW w:w="7229" w:type="dxa"/>
            <w:vAlign w:val="center"/>
          </w:tcPr>
          <w:p w:rsidR="008A1568" w:rsidRPr="000B3871" w:rsidRDefault="00501378" w:rsidP="008A1568">
            <w:pPr>
              <w:rPr>
                <w:rFonts w:cs="Arial"/>
              </w:rPr>
            </w:pPr>
            <w:r>
              <w:rPr>
                <w:rFonts w:cs="Arial"/>
              </w:rPr>
              <w:t>Compliance</w:t>
            </w:r>
          </w:p>
        </w:tc>
        <w:tc>
          <w:tcPr>
            <w:tcW w:w="959" w:type="dxa"/>
            <w:vAlign w:val="center"/>
          </w:tcPr>
          <w:p w:rsidR="008A1568" w:rsidRPr="000B3871" w:rsidRDefault="00501378" w:rsidP="000175DD">
            <w:pPr>
              <w:jc w:val="right"/>
              <w:rPr>
                <w:rFonts w:cs="Arial"/>
              </w:rPr>
            </w:pPr>
            <w:r>
              <w:rPr>
                <w:rFonts w:cs="Arial"/>
              </w:rPr>
              <w:t>1</w:t>
            </w:r>
            <w:r w:rsidR="000175DD">
              <w:rPr>
                <w:rFonts w:cs="Arial"/>
              </w:rPr>
              <w:t>2</w:t>
            </w:r>
          </w:p>
        </w:tc>
      </w:tr>
      <w:tr w:rsidR="000B3871" w:rsidRPr="000B3871" w:rsidTr="00E64EFB">
        <w:tc>
          <w:tcPr>
            <w:tcW w:w="817" w:type="dxa"/>
            <w:vAlign w:val="center"/>
          </w:tcPr>
          <w:p w:rsidR="008A1568" w:rsidRPr="000B3871" w:rsidRDefault="008A1568" w:rsidP="008A1568">
            <w:pPr>
              <w:rPr>
                <w:rFonts w:cs="Arial"/>
                <w:b/>
              </w:rPr>
            </w:pPr>
            <w:r w:rsidRPr="000B3871">
              <w:rPr>
                <w:rFonts w:cs="Arial"/>
                <w:b/>
              </w:rPr>
              <w:t>8</w:t>
            </w:r>
          </w:p>
        </w:tc>
        <w:tc>
          <w:tcPr>
            <w:tcW w:w="7229" w:type="dxa"/>
            <w:vAlign w:val="center"/>
          </w:tcPr>
          <w:p w:rsidR="008A1568" w:rsidRPr="000B3871" w:rsidRDefault="00501378" w:rsidP="008A1568">
            <w:pPr>
              <w:rPr>
                <w:rFonts w:cs="Arial"/>
              </w:rPr>
            </w:pPr>
            <w:r>
              <w:rPr>
                <w:rFonts w:cs="Arial"/>
              </w:rPr>
              <w:t>Training</w:t>
            </w:r>
          </w:p>
        </w:tc>
        <w:tc>
          <w:tcPr>
            <w:tcW w:w="959" w:type="dxa"/>
            <w:vAlign w:val="center"/>
          </w:tcPr>
          <w:p w:rsidR="008A1568" w:rsidRPr="000B3871" w:rsidRDefault="00501378" w:rsidP="000175DD">
            <w:pPr>
              <w:jc w:val="right"/>
              <w:rPr>
                <w:rFonts w:cs="Arial"/>
              </w:rPr>
            </w:pPr>
            <w:r>
              <w:rPr>
                <w:rFonts w:cs="Arial"/>
              </w:rPr>
              <w:t>1</w:t>
            </w:r>
            <w:r w:rsidR="000175DD">
              <w:rPr>
                <w:rFonts w:cs="Arial"/>
              </w:rPr>
              <w:t>3</w:t>
            </w:r>
          </w:p>
        </w:tc>
      </w:tr>
      <w:tr w:rsidR="000B3871" w:rsidRPr="000B3871" w:rsidTr="00E64EFB">
        <w:tc>
          <w:tcPr>
            <w:tcW w:w="817" w:type="dxa"/>
            <w:vAlign w:val="center"/>
          </w:tcPr>
          <w:p w:rsidR="008A1568" w:rsidRPr="000B3871" w:rsidRDefault="008A1568" w:rsidP="008A1568">
            <w:pPr>
              <w:rPr>
                <w:rFonts w:cs="Arial"/>
                <w:b/>
              </w:rPr>
            </w:pPr>
            <w:r w:rsidRPr="000B3871">
              <w:rPr>
                <w:rFonts w:cs="Arial"/>
                <w:b/>
              </w:rPr>
              <w:t>9</w:t>
            </w:r>
          </w:p>
        </w:tc>
        <w:tc>
          <w:tcPr>
            <w:tcW w:w="7229" w:type="dxa"/>
            <w:vAlign w:val="center"/>
          </w:tcPr>
          <w:p w:rsidR="008A1568" w:rsidRPr="000B3871" w:rsidRDefault="00501378" w:rsidP="008A1568">
            <w:pPr>
              <w:rPr>
                <w:rFonts w:cs="Arial"/>
              </w:rPr>
            </w:pPr>
            <w:r>
              <w:rPr>
                <w:rFonts w:cs="Arial"/>
              </w:rPr>
              <w:t>Monitoring and reporting</w:t>
            </w:r>
          </w:p>
        </w:tc>
        <w:tc>
          <w:tcPr>
            <w:tcW w:w="959" w:type="dxa"/>
            <w:vAlign w:val="center"/>
          </w:tcPr>
          <w:p w:rsidR="008A1568" w:rsidRPr="000B3871" w:rsidRDefault="00501378" w:rsidP="000175DD">
            <w:pPr>
              <w:jc w:val="right"/>
              <w:rPr>
                <w:rFonts w:cs="Arial"/>
              </w:rPr>
            </w:pPr>
            <w:r>
              <w:rPr>
                <w:rFonts w:cs="Arial"/>
              </w:rPr>
              <w:t>1</w:t>
            </w:r>
            <w:r w:rsidR="000175DD">
              <w:rPr>
                <w:rFonts w:cs="Arial"/>
              </w:rPr>
              <w:t>3</w:t>
            </w:r>
          </w:p>
        </w:tc>
      </w:tr>
      <w:tr w:rsidR="000B3871" w:rsidRPr="000B3871" w:rsidTr="00E64EFB">
        <w:tc>
          <w:tcPr>
            <w:tcW w:w="817" w:type="dxa"/>
            <w:vAlign w:val="center"/>
          </w:tcPr>
          <w:p w:rsidR="008A1568" w:rsidRPr="000B3871" w:rsidRDefault="008A1568" w:rsidP="008A1568">
            <w:pPr>
              <w:rPr>
                <w:rFonts w:cs="Arial"/>
                <w:b/>
              </w:rPr>
            </w:pPr>
            <w:r w:rsidRPr="000B3871">
              <w:rPr>
                <w:rFonts w:cs="Arial"/>
                <w:b/>
              </w:rPr>
              <w:t>10</w:t>
            </w:r>
          </w:p>
        </w:tc>
        <w:tc>
          <w:tcPr>
            <w:tcW w:w="7229" w:type="dxa"/>
            <w:vAlign w:val="center"/>
          </w:tcPr>
          <w:p w:rsidR="008A1568" w:rsidRPr="000B3871" w:rsidRDefault="00501378" w:rsidP="008A1568">
            <w:pPr>
              <w:rPr>
                <w:rFonts w:cs="Arial"/>
              </w:rPr>
            </w:pPr>
            <w:r w:rsidRPr="000B3871">
              <w:rPr>
                <w:rFonts w:cs="Arial"/>
              </w:rPr>
              <w:t>Legislation</w:t>
            </w:r>
          </w:p>
        </w:tc>
        <w:tc>
          <w:tcPr>
            <w:tcW w:w="959" w:type="dxa"/>
            <w:vAlign w:val="center"/>
          </w:tcPr>
          <w:p w:rsidR="008A1568" w:rsidRPr="000B3871" w:rsidRDefault="00501378" w:rsidP="000175DD">
            <w:pPr>
              <w:jc w:val="right"/>
              <w:rPr>
                <w:rFonts w:cs="Arial"/>
              </w:rPr>
            </w:pPr>
            <w:r>
              <w:rPr>
                <w:rFonts w:cs="Arial"/>
              </w:rPr>
              <w:t>1</w:t>
            </w:r>
            <w:r w:rsidR="000175DD">
              <w:rPr>
                <w:rFonts w:cs="Arial"/>
              </w:rPr>
              <w:t>3</w:t>
            </w:r>
          </w:p>
        </w:tc>
      </w:tr>
      <w:tr w:rsidR="000B3871" w:rsidRPr="000B3871" w:rsidTr="00E64EFB">
        <w:tc>
          <w:tcPr>
            <w:tcW w:w="817" w:type="dxa"/>
            <w:vAlign w:val="center"/>
          </w:tcPr>
          <w:p w:rsidR="00976657" w:rsidRPr="000B3871" w:rsidRDefault="00976657" w:rsidP="00976657">
            <w:pPr>
              <w:rPr>
                <w:rFonts w:cs="Arial"/>
                <w:b/>
              </w:rPr>
            </w:pPr>
            <w:r w:rsidRPr="000B3871">
              <w:rPr>
                <w:rFonts w:cs="Arial"/>
                <w:b/>
              </w:rPr>
              <w:t>11</w:t>
            </w:r>
          </w:p>
        </w:tc>
        <w:tc>
          <w:tcPr>
            <w:tcW w:w="7229" w:type="dxa"/>
            <w:vAlign w:val="center"/>
          </w:tcPr>
          <w:p w:rsidR="00976657" w:rsidRPr="000B3871" w:rsidRDefault="00501378" w:rsidP="008A1568">
            <w:pPr>
              <w:rPr>
                <w:rFonts w:cs="Arial"/>
              </w:rPr>
            </w:pPr>
            <w:r w:rsidRPr="000B3871">
              <w:rPr>
                <w:rFonts w:cs="Arial"/>
              </w:rPr>
              <w:t>Linked policies</w:t>
            </w:r>
          </w:p>
        </w:tc>
        <w:tc>
          <w:tcPr>
            <w:tcW w:w="959" w:type="dxa"/>
            <w:vAlign w:val="center"/>
          </w:tcPr>
          <w:p w:rsidR="00976657" w:rsidRPr="000B3871" w:rsidRDefault="00501378" w:rsidP="000175DD">
            <w:pPr>
              <w:jc w:val="right"/>
              <w:rPr>
                <w:rFonts w:cs="Arial"/>
              </w:rPr>
            </w:pPr>
            <w:r>
              <w:rPr>
                <w:rFonts w:cs="Arial"/>
              </w:rPr>
              <w:t>1</w:t>
            </w:r>
            <w:r w:rsidR="000175DD">
              <w:rPr>
                <w:rFonts w:cs="Arial"/>
              </w:rPr>
              <w:t>3</w:t>
            </w:r>
          </w:p>
        </w:tc>
      </w:tr>
      <w:tr w:rsidR="000B3871" w:rsidRPr="000B3871" w:rsidTr="00E64EFB">
        <w:tc>
          <w:tcPr>
            <w:tcW w:w="817" w:type="dxa"/>
            <w:vAlign w:val="center"/>
          </w:tcPr>
          <w:p w:rsidR="00976657" w:rsidRPr="000B3871" w:rsidRDefault="00976657" w:rsidP="008A1568">
            <w:pPr>
              <w:rPr>
                <w:rFonts w:cs="Arial"/>
                <w:b/>
              </w:rPr>
            </w:pPr>
            <w:r w:rsidRPr="000B3871">
              <w:rPr>
                <w:rFonts w:cs="Arial"/>
                <w:b/>
              </w:rPr>
              <w:t>12</w:t>
            </w:r>
          </w:p>
        </w:tc>
        <w:tc>
          <w:tcPr>
            <w:tcW w:w="7229" w:type="dxa"/>
            <w:vAlign w:val="center"/>
          </w:tcPr>
          <w:p w:rsidR="00976657" w:rsidRPr="000B3871" w:rsidRDefault="00501378" w:rsidP="008A1568">
            <w:pPr>
              <w:rPr>
                <w:rFonts w:cs="Arial"/>
              </w:rPr>
            </w:pPr>
            <w:r>
              <w:rPr>
                <w:rFonts w:cs="Arial"/>
              </w:rPr>
              <w:t>Appendices</w:t>
            </w:r>
          </w:p>
        </w:tc>
        <w:tc>
          <w:tcPr>
            <w:tcW w:w="959" w:type="dxa"/>
            <w:vAlign w:val="center"/>
          </w:tcPr>
          <w:p w:rsidR="00976657" w:rsidRPr="000B3871" w:rsidRDefault="00501378" w:rsidP="000175DD">
            <w:pPr>
              <w:jc w:val="right"/>
              <w:rPr>
                <w:rFonts w:cs="Arial"/>
              </w:rPr>
            </w:pPr>
            <w:r>
              <w:rPr>
                <w:rFonts w:cs="Arial"/>
              </w:rPr>
              <w:t>1</w:t>
            </w:r>
            <w:r w:rsidR="000175DD">
              <w:rPr>
                <w:rFonts w:cs="Arial"/>
              </w:rPr>
              <w:t>4</w:t>
            </w:r>
          </w:p>
        </w:tc>
      </w:tr>
    </w:tbl>
    <w:p w:rsidR="00D30E79" w:rsidRPr="000B3871" w:rsidRDefault="00D30E79" w:rsidP="00C37BF3">
      <w:pPr>
        <w:rPr>
          <w:rFonts w:cs="Arial"/>
        </w:rPr>
      </w:pPr>
    </w:p>
    <w:p w:rsidR="00D30E79" w:rsidRPr="000B3871" w:rsidRDefault="00D30E79" w:rsidP="00C37BF3">
      <w:pPr>
        <w:rPr>
          <w:rFonts w:cs="Arial"/>
        </w:rPr>
      </w:pPr>
    </w:p>
    <w:p w:rsidR="000C4744" w:rsidRPr="000B3871" w:rsidRDefault="000C4744" w:rsidP="00AA2B18">
      <w:pPr>
        <w:pStyle w:val="Body"/>
        <w:ind w:left="0" w:firstLine="0"/>
        <w:rPr>
          <w:b/>
        </w:rPr>
      </w:pPr>
    </w:p>
    <w:p w:rsidR="00AA2B18" w:rsidRPr="000B3871" w:rsidRDefault="00AA2B18" w:rsidP="00BF240C">
      <w:pPr>
        <w:pStyle w:val="Body"/>
        <w:ind w:left="0" w:firstLine="0"/>
        <w:rPr>
          <w:b/>
        </w:rPr>
      </w:pPr>
      <w:r w:rsidRPr="000B3871">
        <w:rPr>
          <w:b/>
        </w:rPr>
        <w:t xml:space="preserve">Paragon </w:t>
      </w:r>
      <w:r w:rsidR="000B3871" w:rsidRPr="000B3871">
        <w:rPr>
          <w:b/>
        </w:rPr>
        <w:t>Asra</w:t>
      </w:r>
      <w:r w:rsidRPr="000B3871">
        <w:rPr>
          <w:b/>
        </w:rPr>
        <w:t xml:space="preserve"> Housing Limited (P</w:t>
      </w:r>
      <w:r w:rsidR="000B3871" w:rsidRPr="000B3871">
        <w:rPr>
          <w:b/>
        </w:rPr>
        <w:t>A Housing</w:t>
      </w:r>
      <w:r w:rsidRPr="000B3871">
        <w:rPr>
          <w:b/>
        </w:rPr>
        <w:t xml:space="preserve">) is committed to equality and diversity. This policy has considered the Equality Act 2010 and its protected characteristics which are: </w:t>
      </w:r>
      <w:r w:rsidR="000B3871">
        <w:rPr>
          <w:b/>
        </w:rPr>
        <w:t>r</w:t>
      </w:r>
      <w:r w:rsidRPr="000B3871">
        <w:rPr>
          <w:b/>
        </w:rPr>
        <w:t xml:space="preserve">ace, </w:t>
      </w:r>
      <w:r w:rsidR="000B3871">
        <w:rPr>
          <w:b/>
        </w:rPr>
        <w:t>g</w:t>
      </w:r>
      <w:r w:rsidRPr="000B3871">
        <w:rPr>
          <w:b/>
        </w:rPr>
        <w:t xml:space="preserve">ender, </w:t>
      </w:r>
      <w:r w:rsidR="000B3871">
        <w:rPr>
          <w:b/>
        </w:rPr>
        <w:t>g</w:t>
      </w:r>
      <w:r w:rsidRPr="000B3871">
        <w:rPr>
          <w:b/>
        </w:rPr>
        <w:t xml:space="preserve">ender </w:t>
      </w:r>
      <w:r w:rsidR="000B3871">
        <w:rPr>
          <w:b/>
        </w:rPr>
        <w:t>r</w:t>
      </w:r>
      <w:r w:rsidRPr="000B3871">
        <w:rPr>
          <w:b/>
        </w:rPr>
        <w:t xml:space="preserve">eassignment, </w:t>
      </w:r>
      <w:r w:rsidR="000B3871">
        <w:rPr>
          <w:b/>
        </w:rPr>
        <w:t>d</w:t>
      </w:r>
      <w:r w:rsidRPr="000B3871">
        <w:rPr>
          <w:b/>
        </w:rPr>
        <w:t xml:space="preserve">isability, </w:t>
      </w:r>
      <w:r w:rsidR="000B3871">
        <w:rPr>
          <w:b/>
        </w:rPr>
        <w:t>r</w:t>
      </w:r>
      <w:r w:rsidRPr="000B3871">
        <w:rPr>
          <w:b/>
        </w:rPr>
        <w:t xml:space="preserve">eligion or </w:t>
      </w:r>
      <w:r w:rsidR="000B3871">
        <w:rPr>
          <w:b/>
        </w:rPr>
        <w:t>b</w:t>
      </w:r>
      <w:r w:rsidRPr="000B3871">
        <w:rPr>
          <w:b/>
        </w:rPr>
        <w:t xml:space="preserve">elief, </w:t>
      </w:r>
      <w:r w:rsidR="000B3871">
        <w:rPr>
          <w:b/>
        </w:rPr>
        <w:t>s</w:t>
      </w:r>
      <w:r w:rsidRPr="000B3871">
        <w:rPr>
          <w:b/>
        </w:rPr>
        <w:t xml:space="preserve">exual </w:t>
      </w:r>
      <w:r w:rsidR="000B3871">
        <w:rPr>
          <w:b/>
        </w:rPr>
        <w:t>o</w:t>
      </w:r>
      <w:r w:rsidRPr="000B3871">
        <w:rPr>
          <w:b/>
        </w:rPr>
        <w:t xml:space="preserve">rientation, </w:t>
      </w:r>
      <w:r w:rsidR="000B3871">
        <w:rPr>
          <w:b/>
        </w:rPr>
        <w:t>a</w:t>
      </w:r>
      <w:r w:rsidRPr="000B3871">
        <w:rPr>
          <w:b/>
        </w:rPr>
        <w:t xml:space="preserve">ge, </w:t>
      </w:r>
      <w:r w:rsidR="000B3871">
        <w:rPr>
          <w:b/>
        </w:rPr>
        <w:t>m</w:t>
      </w:r>
      <w:r w:rsidRPr="000B3871">
        <w:rPr>
          <w:b/>
        </w:rPr>
        <w:t xml:space="preserve">arriage, </w:t>
      </w:r>
      <w:r w:rsidR="000B3871">
        <w:rPr>
          <w:b/>
        </w:rPr>
        <w:t>c</w:t>
      </w:r>
      <w:r w:rsidRPr="000B3871">
        <w:rPr>
          <w:b/>
        </w:rPr>
        <w:t xml:space="preserve">ivil </w:t>
      </w:r>
      <w:r w:rsidR="000B3871">
        <w:rPr>
          <w:b/>
        </w:rPr>
        <w:t>m</w:t>
      </w:r>
      <w:r w:rsidRPr="000B3871">
        <w:rPr>
          <w:b/>
        </w:rPr>
        <w:t xml:space="preserve">arriage and </w:t>
      </w:r>
      <w:r w:rsidR="000B3871">
        <w:rPr>
          <w:b/>
        </w:rPr>
        <w:t>p</w:t>
      </w:r>
      <w:r w:rsidRPr="000B3871">
        <w:rPr>
          <w:b/>
        </w:rPr>
        <w:t xml:space="preserve">artnership, and </w:t>
      </w:r>
      <w:r w:rsidR="000B3871">
        <w:rPr>
          <w:b/>
        </w:rPr>
        <w:t>p</w:t>
      </w:r>
      <w:r w:rsidRPr="000B3871">
        <w:rPr>
          <w:b/>
        </w:rPr>
        <w:t xml:space="preserve">regnancy and </w:t>
      </w:r>
      <w:r w:rsidR="000B3871">
        <w:rPr>
          <w:b/>
        </w:rPr>
        <w:t>m</w:t>
      </w:r>
      <w:r w:rsidRPr="000B3871">
        <w:rPr>
          <w:b/>
        </w:rPr>
        <w:t>aternity explicitly.</w:t>
      </w:r>
    </w:p>
    <w:p w:rsidR="00AA2B18" w:rsidRDefault="00AA2B18" w:rsidP="00BF240C">
      <w:pPr>
        <w:pStyle w:val="Body"/>
        <w:ind w:left="0" w:firstLine="0"/>
        <w:rPr>
          <w:b/>
        </w:rPr>
      </w:pPr>
      <w:r w:rsidRPr="000B3871">
        <w:rPr>
          <w:b/>
        </w:rPr>
        <w:t>We will make sure that all of our communication is fully accessible and to achieve this if a policy or document needs to be available in other formats we will provide them.</w:t>
      </w:r>
    </w:p>
    <w:p w:rsidR="004B5DF1" w:rsidRDefault="004B5DF1" w:rsidP="00BF240C">
      <w:pPr>
        <w:pStyle w:val="Body"/>
        <w:ind w:left="0" w:firstLine="0"/>
        <w:rPr>
          <w:b/>
        </w:rPr>
      </w:pPr>
    </w:p>
    <w:p w:rsidR="004B5DF1" w:rsidRDefault="004B5DF1" w:rsidP="00BF240C">
      <w:pPr>
        <w:pStyle w:val="Body"/>
        <w:ind w:left="0" w:firstLine="0"/>
        <w:rPr>
          <w:b/>
        </w:rPr>
      </w:pPr>
    </w:p>
    <w:p w:rsidR="004B5DF1" w:rsidRDefault="004B5DF1" w:rsidP="00BF240C">
      <w:pPr>
        <w:pStyle w:val="Body"/>
        <w:ind w:left="0" w:firstLine="0"/>
        <w:rPr>
          <w:b/>
        </w:rPr>
      </w:pPr>
    </w:p>
    <w:p w:rsidR="004B5DF1" w:rsidRDefault="004B5DF1" w:rsidP="00BF240C">
      <w:pPr>
        <w:pStyle w:val="Body"/>
        <w:ind w:left="0" w:firstLine="0"/>
        <w:rPr>
          <w:b/>
        </w:rPr>
      </w:pPr>
    </w:p>
    <w:p w:rsidR="004B5DF1" w:rsidRDefault="004B5DF1" w:rsidP="00BF240C">
      <w:pPr>
        <w:pStyle w:val="Body"/>
        <w:ind w:left="0" w:firstLine="0"/>
        <w:rPr>
          <w:b/>
        </w:rPr>
      </w:pPr>
    </w:p>
    <w:p w:rsidR="0010667E" w:rsidRDefault="0010667E">
      <w:pPr>
        <w:rPr>
          <w:rFonts w:eastAsia="Times New Roman" w:cs="Arial"/>
          <w:b/>
          <w:bCs/>
          <w:sz w:val="28"/>
          <w:szCs w:val="28"/>
          <w:lang w:val="en-US" w:eastAsia="en-GB"/>
        </w:rPr>
      </w:pPr>
      <w:r>
        <w:rPr>
          <w:b/>
          <w:sz w:val="28"/>
          <w:szCs w:val="28"/>
        </w:rPr>
        <w:br w:type="page"/>
      </w:r>
    </w:p>
    <w:p w:rsidR="004B5DF1" w:rsidRPr="004B5DF1" w:rsidRDefault="004B5DF1" w:rsidP="00BF240C">
      <w:pPr>
        <w:pStyle w:val="Body"/>
        <w:ind w:left="0" w:firstLine="0"/>
        <w:rPr>
          <w:b/>
          <w:sz w:val="28"/>
          <w:szCs w:val="28"/>
        </w:rPr>
      </w:pPr>
      <w:r w:rsidRPr="004B5DF1">
        <w:rPr>
          <w:b/>
          <w:sz w:val="28"/>
          <w:szCs w:val="28"/>
        </w:rPr>
        <w:lastRenderedPageBreak/>
        <w:t>AUDIT LOG</w:t>
      </w:r>
    </w:p>
    <w:tbl>
      <w:tblPr>
        <w:tblStyle w:val="TableGrid"/>
        <w:tblW w:w="0" w:type="auto"/>
        <w:tblInd w:w="250" w:type="dxa"/>
        <w:tblLook w:val="04A0" w:firstRow="1" w:lastRow="0" w:firstColumn="1" w:lastColumn="0" w:noHBand="0" w:noVBand="1"/>
      </w:tblPr>
      <w:tblGrid>
        <w:gridCol w:w="1985"/>
        <w:gridCol w:w="2126"/>
        <w:gridCol w:w="4881"/>
      </w:tblGrid>
      <w:tr w:rsidR="004B5DF1" w:rsidTr="004B5DF1">
        <w:tc>
          <w:tcPr>
            <w:tcW w:w="1985" w:type="dxa"/>
          </w:tcPr>
          <w:p w:rsidR="004B5DF1" w:rsidRPr="004B5DF1" w:rsidRDefault="004B5DF1" w:rsidP="004B5DF1">
            <w:pPr>
              <w:pStyle w:val="Subheading"/>
              <w:ind w:left="0" w:firstLine="0"/>
              <w:rPr>
                <w:color w:val="auto"/>
              </w:rPr>
            </w:pPr>
            <w:r w:rsidRPr="004B5DF1">
              <w:rPr>
                <w:color w:val="auto"/>
              </w:rPr>
              <w:t>Date of Change</w:t>
            </w:r>
          </w:p>
        </w:tc>
        <w:tc>
          <w:tcPr>
            <w:tcW w:w="2126" w:type="dxa"/>
          </w:tcPr>
          <w:p w:rsidR="004B5DF1" w:rsidRPr="004B5DF1" w:rsidRDefault="004B5DF1" w:rsidP="004B5DF1">
            <w:pPr>
              <w:pStyle w:val="Subheading"/>
              <w:ind w:left="0" w:firstLine="0"/>
              <w:rPr>
                <w:color w:val="auto"/>
              </w:rPr>
            </w:pPr>
            <w:r>
              <w:rPr>
                <w:color w:val="auto"/>
              </w:rPr>
              <w:t xml:space="preserve">Who updated </w:t>
            </w:r>
          </w:p>
        </w:tc>
        <w:tc>
          <w:tcPr>
            <w:tcW w:w="4881" w:type="dxa"/>
          </w:tcPr>
          <w:p w:rsidR="004B5DF1" w:rsidRPr="004B5DF1" w:rsidRDefault="004B5DF1" w:rsidP="004B5DF1">
            <w:pPr>
              <w:pStyle w:val="Subheading"/>
              <w:ind w:left="360" w:firstLine="0"/>
              <w:rPr>
                <w:color w:val="auto"/>
              </w:rPr>
            </w:pPr>
            <w:r w:rsidRPr="004B5DF1">
              <w:rPr>
                <w:color w:val="auto"/>
              </w:rPr>
              <w:t>Details of the change</w:t>
            </w:r>
          </w:p>
        </w:tc>
      </w:tr>
      <w:tr w:rsidR="004B5DF1" w:rsidTr="004B5DF1">
        <w:tc>
          <w:tcPr>
            <w:tcW w:w="1985" w:type="dxa"/>
          </w:tcPr>
          <w:p w:rsidR="004B5DF1" w:rsidRDefault="002941F6" w:rsidP="004B5DF1">
            <w:pPr>
              <w:pStyle w:val="Subheading"/>
              <w:ind w:left="0" w:firstLine="0"/>
              <w:rPr>
                <w:color w:val="auto"/>
                <w:sz w:val="22"/>
                <w:szCs w:val="22"/>
              </w:rPr>
            </w:pPr>
            <w:r>
              <w:rPr>
                <w:color w:val="auto"/>
                <w:sz w:val="22"/>
                <w:szCs w:val="22"/>
              </w:rPr>
              <w:t>05.06.17</w:t>
            </w:r>
          </w:p>
          <w:p w:rsidR="00D67E7A" w:rsidRDefault="00D67E7A" w:rsidP="004B5DF1">
            <w:pPr>
              <w:pStyle w:val="Subheading"/>
              <w:ind w:left="0" w:firstLine="0"/>
              <w:rPr>
                <w:color w:val="auto"/>
                <w:sz w:val="22"/>
                <w:szCs w:val="22"/>
              </w:rPr>
            </w:pPr>
            <w:r>
              <w:rPr>
                <w:color w:val="auto"/>
                <w:sz w:val="22"/>
                <w:szCs w:val="22"/>
              </w:rPr>
              <w:t>15.06.17</w:t>
            </w:r>
          </w:p>
          <w:p w:rsidR="00F85B2C" w:rsidRDefault="00F85B2C" w:rsidP="004B5DF1">
            <w:pPr>
              <w:pStyle w:val="Subheading"/>
              <w:ind w:left="0" w:firstLine="0"/>
              <w:rPr>
                <w:color w:val="auto"/>
                <w:sz w:val="22"/>
                <w:szCs w:val="22"/>
              </w:rPr>
            </w:pPr>
          </w:p>
          <w:p w:rsidR="00F85B2C" w:rsidRDefault="00F85B2C" w:rsidP="004B5DF1">
            <w:pPr>
              <w:pStyle w:val="Subheading"/>
              <w:ind w:left="0" w:firstLine="0"/>
              <w:rPr>
                <w:color w:val="auto"/>
                <w:sz w:val="22"/>
                <w:szCs w:val="22"/>
              </w:rPr>
            </w:pPr>
            <w:r>
              <w:rPr>
                <w:color w:val="auto"/>
                <w:sz w:val="22"/>
                <w:szCs w:val="22"/>
              </w:rPr>
              <w:t>28.06.17</w:t>
            </w:r>
          </w:p>
        </w:tc>
        <w:tc>
          <w:tcPr>
            <w:tcW w:w="2126" w:type="dxa"/>
          </w:tcPr>
          <w:p w:rsidR="004B5DF1" w:rsidRDefault="002941F6" w:rsidP="004B5DF1">
            <w:pPr>
              <w:pStyle w:val="Subheading"/>
              <w:ind w:left="0" w:firstLine="0"/>
              <w:rPr>
                <w:color w:val="auto"/>
                <w:sz w:val="22"/>
                <w:szCs w:val="22"/>
              </w:rPr>
            </w:pPr>
            <w:r>
              <w:rPr>
                <w:color w:val="auto"/>
                <w:sz w:val="22"/>
                <w:szCs w:val="22"/>
              </w:rPr>
              <w:t>Anna Henderson</w:t>
            </w:r>
          </w:p>
          <w:p w:rsidR="00D67E7A" w:rsidRDefault="00D67E7A" w:rsidP="004B5DF1">
            <w:pPr>
              <w:pStyle w:val="Subheading"/>
              <w:ind w:left="0" w:firstLine="0"/>
              <w:rPr>
                <w:color w:val="auto"/>
                <w:sz w:val="22"/>
                <w:szCs w:val="22"/>
              </w:rPr>
            </w:pPr>
            <w:r>
              <w:rPr>
                <w:color w:val="auto"/>
                <w:sz w:val="22"/>
                <w:szCs w:val="22"/>
              </w:rPr>
              <w:t>Anna Henderson</w:t>
            </w:r>
          </w:p>
          <w:p w:rsidR="00F85B2C" w:rsidRDefault="00F85B2C" w:rsidP="004B5DF1">
            <w:pPr>
              <w:pStyle w:val="Subheading"/>
              <w:ind w:left="0" w:firstLine="0"/>
              <w:rPr>
                <w:color w:val="auto"/>
                <w:sz w:val="22"/>
                <w:szCs w:val="22"/>
              </w:rPr>
            </w:pPr>
          </w:p>
          <w:p w:rsidR="00F85B2C" w:rsidRDefault="00F85B2C" w:rsidP="004B5DF1">
            <w:pPr>
              <w:pStyle w:val="Subheading"/>
              <w:ind w:left="0" w:firstLine="0"/>
              <w:rPr>
                <w:color w:val="auto"/>
                <w:sz w:val="22"/>
                <w:szCs w:val="22"/>
              </w:rPr>
            </w:pPr>
            <w:r>
              <w:rPr>
                <w:color w:val="auto"/>
                <w:sz w:val="22"/>
                <w:szCs w:val="22"/>
              </w:rPr>
              <w:t>Anna Henderson</w:t>
            </w:r>
          </w:p>
        </w:tc>
        <w:tc>
          <w:tcPr>
            <w:tcW w:w="4881" w:type="dxa"/>
          </w:tcPr>
          <w:p w:rsidR="004B5DF1" w:rsidRDefault="002941F6" w:rsidP="004B5DF1">
            <w:pPr>
              <w:pStyle w:val="Subheading"/>
              <w:ind w:left="360" w:firstLine="0"/>
              <w:rPr>
                <w:color w:val="auto"/>
                <w:sz w:val="22"/>
                <w:szCs w:val="22"/>
              </w:rPr>
            </w:pPr>
            <w:r>
              <w:rPr>
                <w:color w:val="auto"/>
                <w:sz w:val="22"/>
                <w:szCs w:val="22"/>
              </w:rPr>
              <w:t>Initial Draft of policy written</w:t>
            </w:r>
            <w:r w:rsidR="00D67E7A">
              <w:rPr>
                <w:color w:val="auto"/>
                <w:sz w:val="22"/>
                <w:szCs w:val="22"/>
              </w:rPr>
              <w:t xml:space="preserve"> </w:t>
            </w:r>
          </w:p>
          <w:p w:rsidR="00D67E7A" w:rsidRDefault="00D67E7A" w:rsidP="004B5DF1">
            <w:pPr>
              <w:pStyle w:val="Subheading"/>
              <w:ind w:left="360" w:firstLine="0"/>
              <w:rPr>
                <w:color w:val="auto"/>
                <w:sz w:val="22"/>
                <w:szCs w:val="22"/>
              </w:rPr>
            </w:pPr>
            <w:r>
              <w:rPr>
                <w:color w:val="auto"/>
                <w:sz w:val="22"/>
                <w:szCs w:val="22"/>
              </w:rPr>
              <w:t>Amendments following feedback from Thomas Jackson</w:t>
            </w:r>
          </w:p>
          <w:p w:rsidR="004B5DF1" w:rsidRDefault="00F85B2C" w:rsidP="002941F6">
            <w:pPr>
              <w:pStyle w:val="Subheading"/>
              <w:ind w:left="360" w:firstLine="0"/>
              <w:rPr>
                <w:color w:val="auto"/>
                <w:sz w:val="22"/>
                <w:szCs w:val="22"/>
              </w:rPr>
            </w:pPr>
            <w:r>
              <w:rPr>
                <w:color w:val="auto"/>
                <w:sz w:val="22"/>
                <w:szCs w:val="22"/>
              </w:rPr>
              <w:t>Amendments following feedback from Tenancy Solutions Team</w:t>
            </w:r>
          </w:p>
        </w:tc>
      </w:tr>
      <w:tr w:rsidR="004B5DF1" w:rsidTr="004B5DF1">
        <w:tc>
          <w:tcPr>
            <w:tcW w:w="1985" w:type="dxa"/>
          </w:tcPr>
          <w:p w:rsidR="004B5DF1" w:rsidRDefault="004B5DF1" w:rsidP="004B5DF1">
            <w:pPr>
              <w:pStyle w:val="Subheading"/>
              <w:ind w:left="0" w:firstLine="0"/>
              <w:rPr>
                <w:color w:val="auto"/>
                <w:sz w:val="22"/>
                <w:szCs w:val="22"/>
              </w:rPr>
            </w:pPr>
          </w:p>
        </w:tc>
        <w:tc>
          <w:tcPr>
            <w:tcW w:w="2126" w:type="dxa"/>
          </w:tcPr>
          <w:p w:rsidR="004B5DF1" w:rsidRDefault="004B5DF1" w:rsidP="004B5DF1">
            <w:pPr>
              <w:pStyle w:val="Subheading"/>
              <w:ind w:left="0" w:firstLine="0"/>
              <w:rPr>
                <w:color w:val="auto"/>
                <w:sz w:val="22"/>
                <w:szCs w:val="22"/>
              </w:rPr>
            </w:pPr>
          </w:p>
        </w:tc>
        <w:tc>
          <w:tcPr>
            <w:tcW w:w="4881" w:type="dxa"/>
          </w:tcPr>
          <w:p w:rsidR="004B5DF1" w:rsidRDefault="004B5DF1" w:rsidP="0031178E">
            <w:pPr>
              <w:pStyle w:val="Subheading"/>
              <w:ind w:left="360" w:hanging="326"/>
              <w:rPr>
                <w:color w:val="auto"/>
                <w:sz w:val="22"/>
                <w:szCs w:val="22"/>
              </w:rPr>
            </w:pPr>
          </w:p>
          <w:p w:rsidR="004B5DF1" w:rsidRDefault="004B5DF1" w:rsidP="0031178E">
            <w:pPr>
              <w:pStyle w:val="Subheading"/>
              <w:ind w:left="360" w:hanging="326"/>
              <w:rPr>
                <w:color w:val="auto"/>
                <w:sz w:val="22"/>
                <w:szCs w:val="22"/>
              </w:rPr>
            </w:pPr>
          </w:p>
          <w:p w:rsidR="004B5DF1" w:rsidRDefault="004B5DF1" w:rsidP="0031178E">
            <w:pPr>
              <w:pStyle w:val="Subheading"/>
              <w:ind w:left="360" w:hanging="326"/>
              <w:rPr>
                <w:color w:val="auto"/>
                <w:sz w:val="22"/>
                <w:szCs w:val="22"/>
              </w:rPr>
            </w:pPr>
          </w:p>
          <w:p w:rsidR="004B5DF1" w:rsidRDefault="004B5DF1" w:rsidP="0031178E">
            <w:pPr>
              <w:pStyle w:val="Subheading"/>
              <w:ind w:left="360" w:hanging="326"/>
              <w:rPr>
                <w:color w:val="auto"/>
                <w:sz w:val="22"/>
                <w:szCs w:val="22"/>
              </w:rPr>
            </w:pPr>
          </w:p>
          <w:p w:rsidR="004B5DF1" w:rsidRDefault="004B5DF1" w:rsidP="004B5DF1">
            <w:pPr>
              <w:pStyle w:val="Subheading"/>
              <w:ind w:left="360" w:firstLine="0"/>
              <w:rPr>
                <w:color w:val="auto"/>
                <w:sz w:val="22"/>
                <w:szCs w:val="22"/>
              </w:rPr>
            </w:pPr>
          </w:p>
        </w:tc>
      </w:tr>
      <w:tr w:rsidR="004B5DF1" w:rsidTr="004B5DF1">
        <w:tc>
          <w:tcPr>
            <w:tcW w:w="1985" w:type="dxa"/>
          </w:tcPr>
          <w:p w:rsidR="004B5DF1" w:rsidRDefault="004B5DF1" w:rsidP="004B5DF1">
            <w:pPr>
              <w:pStyle w:val="Subheading"/>
              <w:ind w:left="0" w:firstLine="0"/>
              <w:rPr>
                <w:color w:val="auto"/>
                <w:sz w:val="22"/>
                <w:szCs w:val="22"/>
              </w:rPr>
            </w:pPr>
          </w:p>
        </w:tc>
        <w:tc>
          <w:tcPr>
            <w:tcW w:w="2126" w:type="dxa"/>
          </w:tcPr>
          <w:p w:rsidR="004B5DF1" w:rsidRDefault="004B5DF1" w:rsidP="004B5DF1">
            <w:pPr>
              <w:pStyle w:val="Subheading"/>
              <w:ind w:left="0" w:firstLine="0"/>
              <w:rPr>
                <w:color w:val="auto"/>
                <w:sz w:val="22"/>
                <w:szCs w:val="22"/>
              </w:rPr>
            </w:pPr>
          </w:p>
        </w:tc>
        <w:tc>
          <w:tcPr>
            <w:tcW w:w="4881" w:type="dxa"/>
          </w:tcPr>
          <w:p w:rsidR="004B5DF1" w:rsidRDefault="004B5DF1" w:rsidP="004B5DF1">
            <w:pPr>
              <w:pStyle w:val="Subheading"/>
              <w:rPr>
                <w:color w:val="auto"/>
                <w:sz w:val="22"/>
                <w:szCs w:val="22"/>
              </w:rPr>
            </w:pPr>
          </w:p>
          <w:p w:rsidR="004B5DF1" w:rsidRDefault="004B5DF1" w:rsidP="004B5DF1">
            <w:pPr>
              <w:pStyle w:val="Subheading"/>
              <w:rPr>
                <w:color w:val="auto"/>
                <w:sz w:val="22"/>
                <w:szCs w:val="22"/>
              </w:rPr>
            </w:pPr>
          </w:p>
          <w:p w:rsidR="004B5DF1" w:rsidRDefault="004B5DF1" w:rsidP="004B5DF1">
            <w:pPr>
              <w:pStyle w:val="Subheading"/>
              <w:rPr>
                <w:color w:val="auto"/>
                <w:sz w:val="22"/>
                <w:szCs w:val="22"/>
              </w:rPr>
            </w:pPr>
          </w:p>
          <w:p w:rsidR="004B5DF1" w:rsidRDefault="004B5DF1" w:rsidP="004B5DF1">
            <w:pPr>
              <w:pStyle w:val="Subheading"/>
              <w:rPr>
                <w:color w:val="auto"/>
                <w:sz w:val="22"/>
                <w:szCs w:val="22"/>
              </w:rPr>
            </w:pPr>
          </w:p>
          <w:p w:rsidR="004B5DF1" w:rsidRDefault="004B5DF1" w:rsidP="004B5DF1">
            <w:pPr>
              <w:pStyle w:val="Subheading"/>
              <w:rPr>
                <w:color w:val="auto"/>
                <w:sz w:val="22"/>
                <w:szCs w:val="22"/>
              </w:rPr>
            </w:pPr>
          </w:p>
        </w:tc>
      </w:tr>
      <w:tr w:rsidR="004B5DF1" w:rsidTr="004B5DF1">
        <w:tc>
          <w:tcPr>
            <w:tcW w:w="1985" w:type="dxa"/>
          </w:tcPr>
          <w:p w:rsidR="004B5DF1" w:rsidRDefault="004B5DF1" w:rsidP="004B5DF1">
            <w:pPr>
              <w:pStyle w:val="Subheading"/>
              <w:ind w:left="0" w:firstLine="0"/>
              <w:rPr>
                <w:color w:val="auto"/>
                <w:sz w:val="22"/>
                <w:szCs w:val="22"/>
              </w:rPr>
            </w:pPr>
          </w:p>
        </w:tc>
        <w:tc>
          <w:tcPr>
            <w:tcW w:w="2126" w:type="dxa"/>
          </w:tcPr>
          <w:p w:rsidR="004B5DF1" w:rsidRDefault="004B5DF1" w:rsidP="004B5DF1">
            <w:pPr>
              <w:pStyle w:val="Subheading"/>
              <w:ind w:left="0" w:firstLine="0"/>
              <w:rPr>
                <w:color w:val="auto"/>
                <w:sz w:val="22"/>
                <w:szCs w:val="22"/>
              </w:rPr>
            </w:pPr>
          </w:p>
        </w:tc>
        <w:tc>
          <w:tcPr>
            <w:tcW w:w="4881" w:type="dxa"/>
          </w:tcPr>
          <w:p w:rsidR="004B5DF1" w:rsidRDefault="004B5DF1" w:rsidP="004B5DF1">
            <w:pPr>
              <w:pStyle w:val="Subheading"/>
              <w:rPr>
                <w:color w:val="auto"/>
                <w:sz w:val="22"/>
                <w:szCs w:val="22"/>
              </w:rPr>
            </w:pPr>
          </w:p>
          <w:p w:rsidR="004B5DF1" w:rsidRDefault="004B5DF1" w:rsidP="004B5DF1">
            <w:pPr>
              <w:pStyle w:val="Subheading"/>
              <w:rPr>
                <w:color w:val="auto"/>
                <w:sz w:val="22"/>
                <w:szCs w:val="22"/>
              </w:rPr>
            </w:pPr>
          </w:p>
          <w:p w:rsidR="004B5DF1" w:rsidRDefault="004B5DF1" w:rsidP="004B5DF1">
            <w:pPr>
              <w:pStyle w:val="Subheading"/>
              <w:rPr>
                <w:color w:val="auto"/>
                <w:sz w:val="22"/>
                <w:szCs w:val="22"/>
              </w:rPr>
            </w:pPr>
          </w:p>
          <w:p w:rsidR="004B5DF1" w:rsidRDefault="004B5DF1" w:rsidP="004B5DF1">
            <w:pPr>
              <w:pStyle w:val="Subheading"/>
              <w:rPr>
                <w:color w:val="auto"/>
                <w:sz w:val="22"/>
                <w:szCs w:val="22"/>
              </w:rPr>
            </w:pPr>
          </w:p>
        </w:tc>
      </w:tr>
      <w:tr w:rsidR="004B5DF1" w:rsidTr="004B5DF1">
        <w:tc>
          <w:tcPr>
            <w:tcW w:w="1985" w:type="dxa"/>
          </w:tcPr>
          <w:p w:rsidR="004B5DF1" w:rsidRDefault="004B5DF1" w:rsidP="004B5DF1">
            <w:pPr>
              <w:pStyle w:val="Subheading"/>
              <w:ind w:left="0" w:firstLine="0"/>
              <w:rPr>
                <w:color w:val="auto"/>
                <w:sz w:val="22"/>
                <w:szCs w:val="22"/>
              </w:rPr>
            </w:pPr>
          </w:p>
        </w:tc>
        <w:tc>
          <w:tcPr>
            <w:tcW w:w="2126" w:type="dxa"/>
          </w:tcPr>
          <w:p w:rsidR="004B5DF1" w:rsidRDefault="004B5DF1" w:rsidP="004B5DF1">
            <w:pPr>
              <w:pStyle w:val="Subheading"/>
              <w:ind w:left="0" w:firstLine="0"/>
              <w:rPr>
                <w:color w:val="auto"/>
                <w:sz w:val="22"/>
                <w:szCs w:val="22"/>
              </w:rPr>
            </w:pPr>
          </w:p>
        </w:tc>
        <w:tc>
          <w:tcPr>
            <w:tcW w:w="4881" w:type="dxa"/>
          </w:tcPr>
          <w:p w:rsidR="004B5DF1" w:rsidRDefault="004B5DF1" w:rsidP="004B5DF1">
            <w:pPr>
              <w:pStyle w:val="Subheading"/>
              <w:rPr>
                <w:color w:val="auto"/>
                <w:sz w:val="22"/>
                <w:szCs w:val="22"/>
              </w:rPr>
            </w:pPr>
          </w:p>
          <w:p w:rsidR="004B5DF1" w:rsidRDefault="004B5DF1" w:rsidP="004B5DF1">
            <w:pPr>
              <w:pStyle w:val="Subheading"/>
              <w:rPr>
                <w:color w:val="auto"/>
                <w:sz w:val="22"/>
                <w:szCs w:val="22"/>
              </w:rPr>
            </w:pPr>
          </w:p>
          <w:p w:rsidR="004B5DF1" w:rsidRDefault="004B5DF1" w:rsidP="004B5DF1">
            <w:pPr>
              <w:pStyle w:val="Subheading"/>
              <w:rPr>
                <w:color w:val="auto"/>
                <w:sz w:val="22"/>
                <w:szCs w:val="22"/>
              </w:rPr>
            </w:pPr>
          </w:p>
          <w:p w:rsidR="004B5DF1" w:rsidRDefault="004B5DF1" w:rsidP="004B5DF1">
            <w:pPr>
              <w:pStyle w:val="Subheading"/>
              <w:rPr>
                <w:color w:val="auto"/>
                <w:sz w:val="22"/>
                <w:szCs w:val="22"/>
              </w:rPr>
            </w:pPr>
          </w:p>
        </w:tc>
      </w:tr>
      <w:tr w:rsidR="004B5DF1" w:rsidTr="004B5DF1">
        <w:tc>
          <w:tcPr>
            <w:tcW w:w="1985" w:type="dxa"/>
          </w:tcPr>
          <w:p w:rsidR="004B5DF1" w:rsidRDefault="004B5DF1" w:rsidP="004B5DF1">
            <w:pPr>
              <w:pStyle w:val="Subheading"/>
              <w:ind w:left="0" w:firstLine="0"/>
              <w:rPr>
                <w:color w:val="auto"/>
                <w:sz w:val="22"/>
                <w:szCs w:val="22"/>
              </w:rPr>
            </w:pPr>
          </w:p>
        </w:tc>
        <w:tc>
          <w:tcPr>
            <w:tcW w:w="2126" w:type="dxa"/>
          </w:tcPr>
          <w:p w:rsidR="004B5DF1" w:rsidRDefault="004B5DF1" w:rsidP="004B5DF1">
            <w:pPr>
              <w:pStyle w:val="Subheading"/>
              <w:ind w:left="0" w:firstLine="0"/>
              <w:rPr>
                <w:color w:val="auto"/>
                <w:sz w:val="22"/>
                <w:szCs w:val="22"/>
              </w:rPr>
            </w:pPr>
          </w:p>
        </w:tc>
        <w:tc>
          <w:tcPr>
            <w:tcW w:w="4881" w:type="dxa"/>
          </w:tcPr>
          <w:p w:rsidR="004B5DF1" w:rsidRDefault="004B5DF1" w:rsidP="004B5DF1">
            <w:pPr>
              <w:pStyle w:val="Subheading"/>
              <w:rPr>
                <w:color w:val="auto"/>
                <w:sz w:val="22"/>
                <w:szCs w:val="22"/>
              </w:rPr>
            </w:pPr>
          </w:p>
          <w:p w:rsidR="004B5DF1" w:rsidRDefault="004B5DF1" w:rsidP="004B5DF1">
            <w:pPr>
              <w:pStyle w:val="Subheading"/>
              <w:rPr>
                <w:color w:val="auto"/>
                <w:sz w:val="22"/>
                <w:szCs w:val="22"/>
              </w:rPr>
            </w:pPr>
          </w:p>
          <w:p w:rsidR="004B5DF1" w:rsidRDefault="004B5DF1" w:rsidP="004B5DF1">
            <w:pPr>
              <w:pStyle w:val="Subheading"/>
              <w:rPr>
                <w:color w:val="auto"/>
                <w:sz w:val="22"/>
                <w:szCs w:val="22"/>
              </w:rPr>
            </w:pPr>
          </w:p>
          <w:p w:rsidR="004B5DF1" w:rsidRDefault="004B5DF1" w:rsidP="004B5DF1">
            <w:pPr>
              <w:pStyle w:val="Subheading"/>
              <w:rPr>
                <w:color w:val="auto"/>
                <w:sz w:val="22"/>
                <w:szCs w:val="22"/>
              </w:rPr>
            </w:pPr>
          </w:p>
        </w:tc>
      </w:tr>
      <w:tr w:rsidR="004B5DF1" w:rsidTr="004B5DF1">
        <w:tc>
          <w:tcPr>
            <w:tcW w:w="1985" w:type="dxa"/>
          </w:tcPr>
          <w:p w:rsidR="004B5DF1" w:rsidRDefault="004B5DF1" w:rsidP="004B5DF1">
            <w:pPr>
              <w:pStyle w:val="Subheading"/>
              <w:ind w:left="0" w:firstLine="0"/>
              <w:rPr>
                <w:color w:val="auto"/>
                <w:sz w:val="22"/>
                <w:szCs w:val="22"/>
              </w:rPr>
            </w:pPr>
          </w:p>
        </w:tc>
        <w:tc>
          <w:tcPr>
            <w:tcW w:w="2126" w:type="dxa"/>
          </w:tcPr>
          <w:p w:rsidR="004B5DF1" w:rsidRDefault="004B5DF1" w:rsidP="004B5DF1">
            <w:pPr>
              <w:pStyle w:val="Subheading"/>
              <w:ind w:left="0" w:firstLine="0"/>
              <w:rPr>
                <w:color w:val="auto"/>
                <w:sz w:val="22"/>
                <w:szCs w:val="22"/>
              </w:rPr>
            </w:pPr>
          </w:p>
        </w:tc>
        <w:tc>
          <w:tcPr>
            <w:tcW w:w="4881" w:type="dxa"/>
          </w:tcPr>
          <w:p w:rsidR="004B5DF1" w:rsidRDefault="004B5DF1" w:rsidP="004B5DF1">
            <w:pPr>
              <w:pStyle w:val="Subheading"/>
              <w:rPr>
                <w:color w:val="auto"/>
                <w:sz w:val="22"/>
                <w:szCs w:val="22"/>
              </w:rPr>
            </w:pPr>
          </w:p>
          <w:p w:rsidR="004B5DF1" w:rsidRDefault="004B5DF1" w:rsidP="004B5DF1">
            <w:pPr>
              <w:pStyle w:val="Subheading"/>
              <w:rPr>
                <w:color w:val="auto"/>
                <w:sz w:val="22"/>
                <w:szCs w:val="22"/>
              </w:rPr>
            </w:pPr>
          </w:p>
          <w:p w:rsidR="004B5DF1" w:rsidRDefault="004B5DF1" w:rsidP="004B5DF1">
            <w:pPr>
              <w:pStyle w:val="Subheading"/>
              <w:rPr>
                <w:color w:val="auto"/>
                <w:sz w:val="22"/>
                <w:szCs w:val="22"/>
              </w:rPr>
            </w:pPr>
          </w:p>
          <w:p w:rsidR="004B5DF1" w:rsidRDefault="004B5DF1" w:rsidP="004B5DF1">
            <w:pPr>
              <w:pStyle w:val="Subheading"/>
              <w:rPr>
                <w:color w:val="auto"/>
                <w:sz w:val="22"/>
                <w:szCs w:val="22"/>
              </w:rPr>
            </w:pPr>
          </w:p>
        </w:tc>
      </w:tr>
    </w:tbl>
    <w:p w:rsidR="0072782E" w:rsidRPr="00552D63" w:rsidRDefault="00D30E79" w:rsidP="00A52ABF">
      <w:pPr>
        <w:pStyle w:val="Subheading"/>
        <w:numPr>
          <w:ilvl w:val="0"/>
          <w:numId w:val="2"/>
        </w:numPr>
        <w:ind w:left="567" w:hanging="567"/>
        <w:rPr>
          <w:rFonts w:eastAsia="Arial"/>
          <w:sz w:val="22"/>
          <w:szCs w:val="22"/>
        </w:rPr>
      </w:pPr>
      <w:r w:rsidRPr="000B3871">
        <w:rPr>
          <w:color w:val="auto"/>
          <w:sz w:val="22"/>
          <w:szCs w:val="22"/>
        </w:rPr>
        <w:br w:type="page"/>
      </w:r>
      <w:r w:rsidR="0072782E" w:rsidRPr="00552D63">
        <w:rPr>
          <w:rFonts w:eastAsia="Arial"/>
          <w:sz w:val="22"/>
          <w:szCs w:val="22"/>
        </w:rPr>
        <w:lastRenderedPageBreak/>
        <w:t>Introduction</w:t>
      </w:r>
    </w:p>
    <w:p w:rsidR="000B3871" w:rsidRDefault="00C972C0" w:rsidP="00B42784">
      <w:pPr>
        <w:pStyle w:val="Body"/>
        <w:numPr>
          <w:ilvl w:val="1"/>
          <w:numId w:val="2"/>
        </w:numPr>
        <w:ind w:left="567"/>
      </w:pPr>
      <w:r>
        <w:t xml:space="preserve">PA Housing is committed to the letting of properties in a fair and transparent way. We have a duty to assist Local Authorities in the fulfillment of their legislative requirements, and undertake to support our existing residents who are in housing need under the governance of this policy. </w:t>
      </w:r>
    </w:p>
    <w:p w:rsidR="00C972C0" w:rsidRDefault="00C972C0" w:rsidP="00B42784">
      <w:pPr>
        <w:pStyle w:val="Body"/>
        <w:numPr>
          <w:ilvl w:val="1"/>
          <w:numId w:val="2"/>
        </w:numPr>
        <w:ind w:left="567"/>
      </w:pPr>
      <w:r>
        <w:t xml:space="preserve">Our ability to house people is limited by the number of vacancies in our stock portfolio, and the size, type and location of these properties. There are marked differences in supply and demand between the key sub-regions of the Midlands, London, and the South East and therefore </w:t>
      </w:r>
      <w:r w:rsidR="00BC508B">
        <w:t>some sub-</w:t>
      </w:r>
      <w:r>
        <w:t>regional variations apply to the banding scheme and the access routes for applicants coming into our homes.</w:t>
      </w:r>
    </w:p>
    <w:p w:rsidR="002E73AB" w:rsidRDefault="002E73AB" w:rsidP="00B42784">
      <w:pPr>
        <w:pStyle w:val="Body"/>
        <w:numPr>
          <w:ilvl w:val="1"/>
          <w:numId w:val="2"/>
        </w:numPr>
        <w:ind w:left="567"/>
      </w:pPr>
      <w:r>
        <w:t>Far more people, both on Local Authority housing registers and our existing tenants, are in housing need than there will be properties available. Therefore it will not be possible to help all applicants. Only existing tenants with an identified housing need will be able to apply to transfer, all others will need to look to mutual exchange in order to move.</w:t>
      </w:r>
    </w:p>
    <w:p w:rsidR="00C972C0" w:rsidRDefault="00C972C0" w:rsidP="00B42784">
      <w:pPr>
        <w:pStyle w:val="Body"/>
        <w:numPr>
          <w:ilvl w:val="1"/>
          <w:numId w:val="2"/>
        </w:numPr>
        <w:ind w:left="567"/>
      </w:pPr>
      <w:r>
        <w:t xml:space="preserve">This policy covers allocations to general needs housing, independent living for older people, key worker housing and some </w:t>
      </w:r>
      <w:r w:rsidR="000A5778">
        <w:t>supported housing where allocation is not made via a professionals assessment panel.</w:t>
      </w:r>
    </w:p>
    <w:p w:rsidR="00552D63" w:rsidRPr="000B3871" w:rsidRDefault="00C56502" w:rsidP="00552D63">
      <w:pPr>
        <w:pStyle w:val="Body"/>
        <w:numPr>
          <w:ilvl w:val="1"/>
          <w:numId w:val="2"/>
        </w:numPr>
        <w:ind w:left="567"/>
      </w:pPr>
      <w:r>
        <w:t xml:space="preserve">This policy does not cover the renewal of a fixed term tenancy to a current tenant in the same property; the transfer of tenancies made by any appropriate Court Order; the letting of properties in supported housing schemes managed by others on behalf of PA Housing; lettings made in specifically designated temporary accommodation, </w:t>
      </w:r>
      <w:r w:rsidR="00394DD8">
        <w:t xml:space="preserve">the decanting of existing residents, </w:t>
      </w:r>
      <w:r>
        <w:t>or residents mutually exchanging their tenancies.</w:t>
      </w:r>
    </w:p>
    <w:p w:rsidR="000A5778" w:rsidRPr="00552D63" w:rsidRDefault="000A5778" w:rsidP="00A52ABF">
      <w:pPr>
        <w:pStyle w:val="Subheading"/>
        <w:numPr>
          <w:ilvl w:val="0"/>
          <w:numId w:val="2"/>
        </w:numPr>
        <w:ind w:left="567" w:hanging="567"/>
        <w:rPr>
          <w:rFonts w:eastAsia="Arial"/>
          <w:sz w:val="22"/>
          <w:szCs w:val="22"/>
        </w:rPr>
      </w:pPr>
      <w:r w:rsidRPr="00552D63">
        <w:rPr>
          <w:rFonts w:eastAsia="Arial"/>
          <w:sz w:val="22"/>
          <w:szCs w:val="22"/>
        </w:rPr>
        <w:t>Objectives</w:t>
      </w:r>
    </w:p>
    <w:p w:rsidR="000A5778" w:rsidRDefault="000A5778" w:rsidP="00B42784">
      <w:pPr>
        <w:pStyle w:val="Subheading"/>
        <w:numPr>
          <w:ilvl w:val="1"/>
          <w:numId w:val="2"/>
        </w:numPr>
        <w:ind w:left="567"/>
        <w:rPr>
          <w:rFonts w:eastAsia="Arial"/>
          <w:b w:val="0"/>
          <w:sz w:val="22"/>
          <w:szCs w:val="22"/>
        </w:rPr>
      </w:pPr>
      <w:r>
        <w:rPr>
          <w:rFonts w:eastAsia="Arial"/>
          <w:b w:val="0"/>
          <w:sz w:val="22"/>
          <w:szCs w:val="22"/>
        </w:rPr>
        <w:t>PA Housing seeks to:</w:t>
      </w:r>
    </w:p>
    <w:p w:rsidR="000A5778" w:rsidRDefault="000A5778" w:rsidP="008A3586">
      <w:pPr>
        <w:pStyle w:val="Subheading"/>
        <w:numPr>
          <w:ilvl w:val="1"/>
          <w:numId w:val="4"/>
        </w:numPr>
        <w:ind w:left="993" w:hanging="426"/>
        <w:rPr>
          <w:rFonts w:eastAsia="Arial"/>
          <w:b w:val="0"/>
          <w:sz w:val="22"/>
          <w:szCs w:val="22"/>
        </w:rPr>
      </w:pPr>
      <w:r>
        <w:rPr>
          <w:rFonts w:eastAsia="Arial"/>
          <w:b w:val="0"/>
          <w:sz w:val="22"/>
          <w:szCs w:val="22"/>
        </w:rPr>
        <w:t>allocate rental properties to those in greatest housing need</w:t>
      </w:r>
      <w:r w:rsidR="004A1F66">
        <w:rPr>
          <w:rFonts w:eastAsia="Arial"/>
          <w:b w:val="0"/>
          <w:sz w:val="22"/>
          <w:szCs w:val="22"/>
        </w:rPr>
        <w:t xml:space="preserve"> whilst promoting the choices and participation of applicants in this process</w:t>
      </w:r>
    </w:p>
    <w:p w:rsidR="00137D8C" w:rsidRDefault="00137D8C" w:rsidP="008A3586">
      <w:pPr>
        <w:pStyle w:val="Subheading"/>
        <w:numPr>
          <w:ilvl w:val="1"/>
          <w:numId w:val="4"/>
        </w:numPr>
        <w:ind w:left="993" w:hanging="426"/>
        <w:rPr>
          <w:rFonts w:eastAsia="Arial"/>
          <w:b w:val="0"/>
          <w:sz w:val="22"/>
          <w:szCs w:val="22"/>
        </w:rPr>
      </w:pPr>
      <w:r>
        <w:rPr>
          <w:rFonts w:eastAsia="Arial"/>
          <w:b w:val="0"/>
          <w:sz w:val="22"/>
          <w:szCs w:val="22"/>
        </w:rPr>
        <w:t>Treat applicants fairly and equally regardless of where they live or who they are</w:t>
      </w:r>
    </w:p>
    <w:p w:rsidR="008E3707" w:rsidRDefault="008E3707" w:rsidP="008A3586">
      <w:pPr>
        <w:pStyle w:val="Subheading"/>
        <w:numPr>
          <w:ilvl w:val="1"/>
          <w:numId w:val="4"/>
        </w:numPr>
        <w:ind w:left="993" w:hanging="426"/>
        <w:rPr>
          <w:rFonts w:eastAsia="Arial"/>
          <w:b w:val="0"/>
          <w:sz w:val="22"/>
          <w:szCs w:val="22"/>
        </w:rPr>
      </w:pPr>
      <w:r>
        <w:rPr>
          <w:rFonts w:eastAsia="Arial"/>
          <w:b w:val="0"/>
          <w:sz w:val="22"/>
          <w:szCs w:val="22"/>
        </w:rPr>
        <w:t xml:space="preserve">Develop mutually beneficial close working relationships with Local Authorities – to support their duties and to </w:t>
      </w:r>
      <w:r w:rsidR="00BC508B">
        <w:rPr>
          <w:rFonts w:eastAsia="Arial"/>
          <w:b w:val="0"/>
          <w:sz w:val="22"/>
          <w:szCs w:val="22"/>
        </w:rPr>
        <w:t xml:space="preserve">maximize the efficiency of any nominations process. We will also seek to </w:t>
      </w:r>
      <w:r>
        <w:rPr>
          <w:rFonts w:eastAsia="Arial"/>
          <w:b w:val="0"/>
          <w:sz w:val="22"/>
          <w:szCs w:val="22"/>
        </w:rPr>
        <w:t>strengthen our development potential as a preferred provider of new homes</w:t>
      </w:r>
    </w:p>
    <w:p w:rsidR="000A5778" w:rsidRDefault="000A5778" w:rsidP="008A3586">
      <w:pPr>
        <w:pStyle w:val="Subheading"/>
        <w:numPr>
          <w:ilvl w:val="1"/>
          <w:numId w:val="4"/>
        </w:numPr>
        <w:ind w:left="993" w:hanging="426"/>
        <w:rPr>
          <w:rFonts w:eastAsia="Arial"/>
          <w:b w:val="0"/>
          <w:sz w:val="22"/>
          <w:szCs w:val="22"/>
        </w:rPr>
      </w:pPr>
      <w:r>
        <w:rPr>
          <w:rFonts w:eastAsia="Arial"/>
          <w:b w:val="0"/>
          <w:sz w:val="22"/>
          <w:szCs w:val="22"/>
        </w:rPr>
        <w:t>Meet the needs of local communities</w:t>
      </w:r>
      <w:r w:rsidR="00137D8C">
        <w:rPr>
          <w:rFonts w:eastAsia="Arial"/>
          <w:b w:val="0"/>
          <w:sz w:val="22"/>
          <w:szCs w:val="22"/>
        </w:rPr>
        <w:t xml:space="preserve"> and </w:t>
      </w:r>
      <w:r w:rsidR="00C56502">
        <w:rPr>
          <w:rFonts w:eastAsia="Arial"/>
          <w:b w:val="0"/>
          <w:sz w:val="22"/>
          <w:szCs w:val="22"/>
        </w:rPr>
        <w:t xml:space="preserve">support </w:t>
      </w:r>
      <w:r w:rsidR="00137D8C">
        <w:rPr>
          <w:rFonts w:eastAsia="Arial"/>
          <w:b w:val="0"/>
          <w:sz w:val="22"/>
          <w:szCs w:val="22"/>
        </w:rPr>
        <w:t xml:space="preserve">their </w:t>
      </w:r>
      <w:r w:rsidR="00C56502">
        <w:rPr>
          <w:rFonts w:eastAsia="Arial"/>
          <w:b w:val="0"/>
          <w:sz w:val="22"/>
          <w:szCs w:val="22"/>
        </w:rPr>
        <w:t xml:space="preserve">ongoing </w:t>
      </w:r>
      <w:r w:rsidR="00137D8C">
        <w:rPr>
          <w:rFonts w:eastAsia="Arial"/>
          <w:b w:val="0"/>
          <w:sz w:val="22"/>
          <w:szCs w:val="22"/>
        </w:rPr>
        <w:t xml:space="preserve">engagement with </w:t>
      </w:r>
      <w:r w:rsidR="00C56502">
        <w:rPr>
          <w:rFonts w:eastAsia="Arial"/>
          <w:b w:val="0"/>
          <w:sz w:val="22"/>
          <w:szCs w:val="22"/>
        </w:rPr>
        <w:t>our services</w:t>
      </w:r>
    </w:p>
    <w:p w:rsidR="000A5778" w:rsidRDefault="000A5778" w:rsidP="008A3586">
      <w:pPr>
        <w:pStyle w:val="Subheading"/>
        <w:numPr>
          <w:ilvl w:val="1"/>
          <w:numId w:val="4"/>
        </w:numPr>
        <w:ind w:left="993" w:hanging="426"/>
        <w:rPr>
          <w:rFonts w:eastAsia="Arial"/>
          <w:b w:val="0"/>
          <w:sz w:val="22"/>
          <w:szCs w:val="22"/>
        </w:rPr>
      </w:pPr>
      <w:r>
        <w:rPr>
          <w:rFonts w:eastAsia="Arial"/>
          <w:b w:val="0"/>
          <w:sz w:val="22"/>
          <w:szCs w:val="22"/>
        </w:rPr>
        <w:t>Achieve stable and sustainable tenancies</w:t>
      </w:r>
    </w:p>
    <w:p w:rsidR="00137D8C" w:rsidRDefault="00137D8C" w:rsidP="008A3586">
      <w:pPr>
        <w:pStyle w:val="Subheading"/>
        <w:numPr>
          <w:ilvl w:val="1"/>
          <w:numId w:val="4"/>
        </w:numPr>
        <w:ind w:left="993" w:hanging="426"/>
        <w:rPr>
          <w:rFonts w:eastAsia="Arial"/>
          <w:b w:val="0"/>
          <w:sz w:val="22"/>
          <w:szCs w:val="22"/>
        </w:rPr>
      </w:pPr>
      <w:r>
        <w:rPr>
          <w:rFonts w:eastAsia="Arial"/>
          <w:b w:val="0"/>
          <w:sz w:val="22"/>
          <w:szCs w:val="22"/>
        </w:rPr>
        <w:t>Be agile enough to offer a flexible approach at local level; using our housing stock in the most efficient way, through differing tenures, and differing contractual relationships with Local Authority partners</w:t>
      </w:r>
      <w:r w:rsidR="00600929">
        <w:rPr>
          <w:rFonts w:eastAsia="Arial"/>
          <w:b w:val="0"/>
          <w:sz w:val="22"/>
          <w:szCs w:val="22"/>
        </w:rPr>
        <w:t xml:space="preserve"> in terms of nominations agreements and use of local lettings plans.</w:t>
      </w:r>
    </w:p>
    <w:p w:rsidR="00137D8C" w:rsidRDefault="00137D8C" w:rsidP="008A3586">
      <w:pPr>
        <w:pStyle w:val="Subheading"/>
        <w:numPr>
          <w:ilvl w:val="1"/>
          <w:numId w:val="4"/>
        </w:numPr>
        <w:ind w:left="993" w:hanging="426"/>
        <w:rPr>
          <w:rFonts w:eastAsia="Arial"/>
          <w:b w:val="0"/>
          <w:sz w:val="22"/>
          <w:szCs w:val="22"/>
        </w:rPr>
      </w:pPr>
      <w:r>
        <w:rPr>
          <w:rFonts w:eastAsia="Arial"/>
          <w:b w:val="0"/>
          <w:sz w:val="22"/>
          <w:szCs w:val="22"/>
        </w:rPr>
        <w:t xml:space="preserve">Rise to the challenges posed by </w:t>
      </w:r>
      <w:r w:rsidR="00E50188">
        <w:rPr>
          <w:rFonts w:eastAsia="Arial"/>
          <w:b w:val="0"/>
          <w:sz w:val="22"/>
          <w:szCs w:val="22"/>
        </w:rPr>
        <w:t>w</w:t>
      </w:r>
      <w:r>
        <w:rPr>
          <w:rFonts w:eastAsia="Arial"/>
          <w:b w:val="0"/>
          <w:sz w:val="22"/>
          <w:szCs w:val="22"/>
        </w:rPr>
        <w:t>elfare reform</w:t>
      </w:r>
    </w:p>
    <w:p w:rsidR="00137D8C" w:rsidRDefault="00137D8C" w:rsidP="008A3586">
      <w:pPr>
        <w:pStyle w:val="Subheading"/>
        <w:numPr>
          <w:ilvl w:val="1"/>
          <w:numId w:val="4"/>
        </w:numPr>
        <w:ind w:left="993" w:hanging="426"/>
        <w:rPr>
          <w:rFonts w:eastAsia="Arial"/>
          <w:b w:val="0"/>
          <w:sz w:val="22"/>
          <w:szCs w:val="22"/>
        </w:rPr>
      </w:pPr>
      <w:r>
        <w:rPr>
          <w:rFonts w:eastAsia="Arial"/>
          <w:b w:val="0"/>
          <w:sz w:val="22"/>
          <w:szCs w:val="22"/>
        </w:rPr>
        <w:lastRenderedPageBreak/>
        <w:t>Provide a customer focused service including clear and easy to understand information</w:t>
      </w:r>
      <w:r w:rsidR="004A1F66">
        <w:rPr>
          <w:rFonts w:eastAsia="Arial"/>
          <w:b w:val="0"/>
          <w:sz w:val="22"/>
          <w:szCs w:val="22"/>
        </w:rPr>
        <w:t>, regular policy review and the continuous improvement of our processes and systems</w:t>
      </w:r>
    </w:p>
    <w:p w:rsidR="00BF3D0D" w:rsidRDefault="00E50188" w:rsidP="00B42784">
      <w:pPr>
        <w:pStyle w:val="Subheading"/>
        <w:numPr>
          <w:ilvl w:val="1"/>
          <w:numId w:val="2"/>
        </w:numPr>
        <w:ind w:left="567"/>
        <w:rPr>
          <w:rFonts w:eastAsia="Arial"/>
          <w:b w:val="0"/>
          <w:sz w:val="22"/>
          <w:szCs w:val="22"/>
        </w:rPr>
      </w:pPr>
      <w:r>
        <w:rPr>
          <w:rFonts w:eastAsia="Arial"/>
          <w:b w:val="0"/>
          <w:sz w:val="22"/>
          <w:szCs w:val="22"/>
        </w:rPr>
        <w:t xml:space="preserve">We will use this policy to ensure consistency </w:t>
      </w:r>
      <w:r w:rsidR="00F97A16">
        <w:rPr>
          <w:rFonts w:eastAsia="Arial"/>
          <w:b w:val="0"/>
          <w:sz w:val="22"/>
          <w:szCs w:val="22"/>
        </w:rPr>
        <w:t xml:space="preserve">in our approach </w:t>
      </w:r>
      <w:r w:rsidR="008E3707">
        <w:rPr>
          <w:rFonts w:eastAsia="Arial"/>
          <w:b w:val="0"/>
          <w:sz w:val="22"/>
          <w:szCs w:val="22"/>
        </w:rPr>
        <w:t xml:space="preserve">to any decision making or determination regarding an allocation. We will ensure that this is compliant with all relevant government legislation and statutory guidance. </w:t>
      </w:r>
    </w:p>
    <w:p w:rsidR="002E73AB" w:rsidRDefault="002E73AB" w:rsidP="002E73AB">
      <w:pPr>
        <w:pStyle w:val="Subheading"/>
        <w:ind w:left="930" w:firstLine="0"/>
        <w:rPr>
          <w:rFonts w:eastAsia="Arial"/>
          <w:b w:val="0"/>
          <w:sz w:val="22"/>
          <w:szCs w:val="22"/>
        </w:rPr>
      </w:pPr>
    </w:p>
    <w:p w:rsidR="00BF3D0D" w:rsidRPr="00552D63" w:rsidRDefault="000A5778" w:rsidP="00A52ABF">
      <w:pPr>
        <w:pStyle w:val="Subheading"/>
        <w:numPr>
          <w:ilvl w:val="0"/>
          <w:numId w:val="2"/>
        </w:numPr>
        <w:ind w:left="567" w:hanging="567"/>
        <w:rPr>
          <w:rFonts w:eastAsia="Arial"/>
          <w:sz w:val="22"/>
          <w:szCs w:val="22"/>
        </w:rPr>
      </w:pPr>
      <w:r w:rsidRPr="00552D63">
        <w:rPr>
          <w:rFonts w:eastAsia="Arial"/>
          <w:sz w:val="22"/>
          <w:szCs w:val="22"/>
        </w:rPr>
        <w:t>Definitions</w:t>
      </w:r>
    </w:p>
    <w:p w:rsidR="002E73AB" w:rsidRDefault="002E73AB" w:rsidP="00B42784">
      <w:pPr>
        <w:pStyle w:val="Subheading"/>
        <w:numPr>
          <w:ilvl w:val="1"/>
          <w:numId w:val="2"/>
        </w:numPr>
        <w:ind w:left="567" w:hanging="567"/>
        <w:rPr>
          <w:rFonts w:eastAsia="Arial"/>
          <w:b w:val="0"/>
          <w:sz w:val="22"/>
          <w:szCs w:val="22"/>
        </w:rPr>
      </w:pPr>
      <w:r w:rsidRPr="00CC4FD7">
        <w:rPr>
          <w:rFonts w:eastAsia="Arial"/>
          <w:sz w:val="22"/>
          <w:szCs w:val="22"/>
        </w:rPr>
        <w:t>Choice Based Lettings –</w:t>
      </w:r>
      <w:r>
        <w:rPr>
          <w:rFonts w:eastAsia="Arial"/>
          <w:b w:val="0"/>
          <w:sz w:val="22"/>
          <w:szCs w:val="22"/>
        </w:rPr>
        <w:t xml:space="preserve"> The method used to allocate homes by advertising available properties to eligible applicants, and then shortlisting those interested by their relative priority. This gives applicants’ choice about the type of property and area where they want to live.</w:t>
      </w:r>
    </w:p>
    <w:p w:rsidR="002E73AB" w:rsidRDefault="002E73AB" w:rsidP="00B42784">
      <w:pPr>
        <w:pStyle w:val="Subheading"/>
        <w:numPr>
          <w:ilvl w:val="1"/>
          <w:numId w:val="2"/>
        </w:numPr>
        <w:ind w:left="567" w:hanging="567"/>
        <w:rPr>
          <w:rFonts w:eastAsia="Arial"/>
          <w:b w:val="0"/>
          <w:sz w:val="22"/>
          <w:szCs w:val="22"/>
        </w:rPr>
      </w:pPr>
      <w:r w:rsidRPr="00CC4FD7">
        <w:rPr>
          <w:rFonts w:eastAsia="Arial"/>
          <w:sz w:val="22"/>
          <w:szCs w:val="22"/>
        </w:rPr>
        <w:t>Nominations Agreement –</w:t>
      </w:r>
      <w:r>
        <w:rPr>
          <w:rFonts w:eastAsia="Arial"/>
          <w:b w:val="0"/>
          <w:sz w:val="22"/>
          <w:szCs w:val="22"/>
        </w:rPr>
        <w:t xml:space="preserve"> PA Housing maintains a nominations agreement in each local authority area of operation. The agreement sets out the minimum percentage of available vacancies that the authority would be able to nominate applicants from its own housing register to, and how they will do this. These agreements require at least 75% of available homes in London and the South East sub-regions, and </w:t>
      </w:r>
      <w:r w:rsidR="008B6ACE">
        <w:rPr>
          <w:rFonts w:eastAsia="Arial"/>
          <w:b w:val="0"/>
          <w:sz w:val="22"/>
          <w:szCs w:val="22"/>
        </w:rPr>
        <w:t xml:space="preserve">typically </w:t>
      </w:r>
      <w:r>
        <w:rPr>
          <w:rFonts w:eastAsia="Arial"/>
          <w:b w:val="0"/>
          <w:sz w:val="22"/>
          <w:szCs w:val="22"/>
        </w:rPr>
        <w:t xml:space="preserve">50% of available homes in the Midlands to be offered to the </w:t>
      </w:r>
      <w:r w:rsidR="008B6ACE">
        <w:rPr>
          <w:rFonts w:eastAsia="Arial"/>
          <w:b w:val="0"/>
          <w:sz w:val="22"/>
          <w:szCs w:val="22"/>
        </w:rPr>
        <w:t>relevant Local Authorities</w:t>
      </w:r>
      <w:r>
        <w:rPr>
          <w:rFonts w:eastAsia="Arial"/>
          <w:b w:val="0"/>
          <w:sz w:val="22"/>
          <w:szCs w:val="22"/>
        </w:rPr>
        <w:t xml:space="preserve"> for such nominations. At limited sites / schemes 100% nominations apply.</w:t>
      </w:r>
    </w:p>
    <w:p w:rsidR="002E73AB" w:rsidRDefault="002E73AB" w:rsidP="00B42784">
      <w:pPr>
        <w:pStyle w:val="Subheading"/>
        <w:rPr>
          <w:rFonts w:eastAsia="Arial"/>
          <w:sz w:val="22"/>
          <w:szCs w:val="22"/>
        </w:rPr>
      </w:pPr>
      <w:r w:rsidRPr="00A52ABF">
        <w:rPr>
          <w:rFonts w:eastAsia="Arial"/>
          <w:sz w:val="22"/>
          <w:szCs w:val="22"/>
        </w:rPr>
        <w:t>3.3</w:t>
      </w:r>
      <w:r w:rsidRPr="002E73AB">
        <w:rPr>
          <w:rFonts w:eastAsia="Arial"/>
          <w:b w:val="0"/>
          <w:sz w:val="22"/>
          <w:szCs w:val="22"/>
        </w:rPr>
        <w:tab/>
      </w:r>
      <w:r w:rsidRPr="00CC682A">
        <w:rPr>
          <w:rFonts w:eastAsia="Arial"/>
          <w:sz w:val="22"/>
          <w:szCs w:val="22"/>
        </w:rPr>
        <w:t>‘Difficult to Let’ unit of accommodation</w:t>
      </w:r>
      <w:r>
        <w:rPr>
          <w:rFonts w:eastAsia="Arial"/>
          <w:sz w:val="22"/>
          <w:szCs w:val="22"/>
        </w:rPr>
        <w:t xml:space="preserve"> – </w:t>
      </w:r>
      <w:r>
        <w:rPr>
          <w:rFonts w:eastAsia="Arial"/>
          <w:b w:val="0"/>
          <w:sz w:val="22"/>
          <w:szCs w:val="22"/>
        </w:rPr>
        <w:t>On occasion a property may be refused by more than 3 consecutive nominees, or they may be no suitable applicants currently matched to the property profile (for example in the case of disabled adapted properties).Properties in certain low demand locations or estates with high turnover may also be classified as such. If this is the case external advertising to private or other social agencies may be considered.</w:t>
      </w:r>
    </w:p>
    <w:p w:rsidR="003B1CA1" w:rsidRPr="00A52ABF" w:rsidRDefault="00BF3D0D" w:rsidP="00B42784">
      <w:pPr>
        <w:pStyle w:val="Subheading"/>
        <w:numPr>
          <w:ilvl w:val="1"/>
          <w:numId w:val="6"/>
        </w:numPr>
        <w:ind w:left="567" w:hanging="567"/>
        <w:rPr>
          <w:rFonts w:eastAsia="Arial"/>
          <w:b w:val="0"/>
          <w:sz w:val="22"/>
          <w:szCs w:val="22"/>
        </w:rPr>
      </w:pPr>
      <w:r w:rsidRPr="002E73AB">
        <w:rPr>
          <w:rFonts w:eastAsia="Arial"/>
          <w:sz w:val="22"/>
          <w:szCs w:val="22"/>
        </w:rPr>
        <w:t>Sub-regions</w:t>
      </w:r>
      <w:r w:rsidR="00587C63" w:rsidRPr="002E73AB">
        <w:rPr>
          <w:rFonts w:eastAsia="Arial"/>
          <w:sz w:val="22"/>
          <w:szCs w:val="22"/>
        </w:rPr>
        <w:t xml:space="preserve"> –</w:t>
      </w:r>
      <w:r w:rsidR="00587C63">
        <w:rPr>
          <w:rFonts w:eastAsia="Arial"/>
          <w:b w:val="0"/>
          <w:sz w:val="22"/>
          <w:szCs w:val="22"/>
        </w:rPr>
        <w:t xml:space="preserve"> PA Housing owns properties in many </w:t>
      </w:r>
      <w:r w:rsidR="00C327F7">
        <w:rPr>
          <w:rFonts w:eastAsia="Arial"/>
          <w:b w:val="0"/>
          <w:sz w:val="22"/>
          <w:szCs w:val="22"/>
        </w:rPr>
        <w:t>boroughs</w:t>
      </w:r>
      <w:r w:rsidR="00587C63">
        <w:rPr>
          <w:rFonts w:eastAsia="Arial"/>
          <w:b w:val="0"/>
          <w:sz w:val="22"/>
          <w:szCs w:val="22"/>
        </w:rPr>
        <w:t xml:space="preserve">, divided roughly as per the table </w:t>
      </w:r>
      <w:r w:rsidR="002E73AB">
        <w:rPr>
          <w:rFonts w:eastAsia="Arial"/>
          <w:b w:val="0"/>
          <w:sz w:val="22"/>
          <w:szCs w:val="22"/>
        </w:rPr>
        <w:t>included as Appendix 1</w:t>
      </w:r>
      <w:r w:rsidR="00587C63">
        <w:rPr>
          <w:rFonts w:eastAsia="Arial"/>
          <w:b w:val="0"/>
          <w:sz w:val="22"/>
          <w:szCs w:val="22"/>
        </w:rPr>
        <w:t>. Where referenced, sub-regional variations apply accordingly</w:t>
      </w:r>
      <w:r w:rsidR="00A52ABF">
        <w:rPr>
          <w:rFonts w:eastAsia="Arial"/>
          <w:b w:val="0"/>
          <w:sz w:val="22"/>
          <w:szCs w:val="22"/>
        </w:rPr>
        <w:t>.</w:t>
      </w:r>
    </w:p>
    <w:p w:rsidR="000B3F3B" w:rsidRPr="00BF3D0D" w:rsidRDefault="000B3F3B" w:rsidP="000B3F3B">
      <w:pPr>
        <w:pStyle w:val="Subheading"/>
        <w:ind w:left="930" w:firstLine="0"/>
        <w:rPr>
          <w:rFonts w:eastAsia="Arial"/>
          <w:b w:val="0"/>
          <w:sz w:val="22"/>
          <w:szCs w:val="22"/>
        </w:rPr>
      </w:pPr>
    </w:p>
    <w:p w:rsidR="00D30E79" w:rsidRPr="00552D63" w:rsidRDefault="000A5778" w:rsidP="00A52ABF">
      <w:pPr>
        <w:pStyle w:val="Subheading"/>
        <w:numPr>
          <w:ilvl w:val="0"/>
          <w:numId w:val="6"/>
        </w:numPr>
        <w:ind w:left="567" w:hanging="567"/>
      </w:pPr>
      <w:r w:rsidRPr="00552D63">
        <w:rPr>
          <w:rFonts w:eastAsia="Arial"/>
          <w:sz w:val="22"/>
          <w:szCs w:val="22"/>
        </w:rPr>
        <w:t>Key points of Policy</w:t>
      </w:r>
    </w:p>
    <w:p w:rsidR="00DB0AE5" w:rsidRDefault="006447D2" w:rsidP="00552D63">
      <w:pPr>
        <w:pStyle w:val="Subheading"/>
        <w:numPr>
          <w:ilvl w:val="1"/>
          <w:numId w:val="20"/>
        </w:numPr>
        <w:ind w:left="567" w:hanging="567"/>
        <w:rPr>
          <w:rFonts w:eastAsia="Arial"/>
          <w:sz w:val="22"/>
          <w:szCs w:val="22"/>
        </w:rPr>
      </w:pPr>
      <w:r w:rsidRPr="00377384">
        <w:rPr>
          <w:rFonts w:eastAsia="Arial"/>
          <w:sz w:val="22"/>
          <w:szCs w:val="22"/>
        </w:rPr>
        <w:t>Eligibility</w:t>
      </w:r>
      <w:r w:rsidR="00377384">
        <w:rPr>
          <w:rFonts w:eastAsia="Arial"/>
          <w:sz w:val="22"/>
          <w:szCs w:val="22"/>
        </w:rPr>
        <w:t xml:space="preserve"> –</w:t>
      </w:r>
      <w:r w:rsidRPr="00377384">
        <w:rPr>
          <w:rFonts w:eastAsia="Arial"/>
          <w:sz w:val="22"/>
          <w:szCs w:val="22"/>
        </w:rPr>
        <w:t xml:space="preserve"> </w:t>
      </w:r>
    </w:p>
    <w:p w:rsidR="00DB0AE5" w:rsidRPr="00DB0AE5" w:rsidRDefault="00377384" w:rsidP="00B42784">
      <w:pPr>
        <w:pStyle w:val="Subheading"/>
        <w:numPr>
          <w:ilvl w:val="0"/>
          <w:numId w:val="7"/>
        </w:numPr>
        <w:ind w:left="993"/>
        <w:rPr>
          <w:rFonts w:eastAsia="Arial"/>
          <w:sz w:val="22"/>
          <w:szCs w:val="22"/>
        </w:rPr>
      </w:pPr>
      <w:r w:rsidRPr="00DB0AE5">
        <w:rPr>
          <w:rFonts w:eastAsia="Arial"/>
          <w:b w:val="0"/>
          <w:sz w:val="22"/>
          <w:szCs w:val="22"/>
        </w:rPr>
        <w:t xml:space="preserve">PA Housing will only offer tenancies to 16-18 year olds in exceptional circumstances. </w:t>
      </w:r>
    </w:p>
    <w:p w:rsidR="00DB0AE5" w:rsidRDefault="00377384" w:rsidP="00B42784">
      <w:pPr>
        <w:pStyle w:val="Subheading"/>
        <w:numPr>
          <w:ilvl w:val="0"/>
          <w:numId w:val="7"/>
        </w:numPr>
        <w:ind w:left="993"/>
        <w:rPr>
          <w:rFonts w:eastAsia="Arial"/>
          <w:b w:val="0"/>
          <w:sz w:val="22"/>
          <w:szCs w:val="22"/>
        </w:rPr>
      </w:pPr>
      <w:r w:rsidRPr="00DB0AE5">
        <w:rPr>
          <w:rFonts w:eastAsia="Arial"/>
          <w:b w:val="0"/>
          <w:sz w:val="22"/>
          <w:szCs w:val="22"/>
        </w:rPr>
        <w:t xml:space="preserve">In all cases where a nomination is provided by a Local Authority all appropriate checks to ensure that the nominated household has the Right to </w:t>
      </w:r>
      <w:proofErr w:type="gramStart"/>
      <w:r w:rsidRPr="00DB0AE5">
        <w:rPr>
          <w:rFonts w:eastAsia="Arial"/>
          <w:b w:val="0"/>
          <w:sz w:val="22"/>
          <w:szCs w:val="22"/>
        </w:rPr>
        <w:t>Rent</w:t>
      </w:r>
      <w:proofErr w:type="gramEnd"/>
      <w:r w:rsidRPr="00DB0AE5">
        <w:rPr>
          <w:rFonts w:eastAsia="Arial"/>
          <w:b w:val="0"/>
          <w:sz w:val="22"/>
          <w:szCs w:val="22"/>
        </w:rPr>
        <w:t xml:space="preserve"> in the UK will be carried out by that authority. </w:t>
      </w:r>
      <w:r w:rsidR="00F92272">
        <w:rPr>
          <w:rFonts w:eastAsia="Arial"/>
          <w:b w:val="0"/>
          <w:sz w:val="22"/>
          <w:szCs w:val="22"/>
        </w:rPr>
        <w:t>Where any applicants apply directly to PA Housing</w:t>
      </w:r>
      <w:r w:rsidR="00475B5A">
        <w:rPr>
          <w:rFonts w:eastAsia="Arial"/>
          <w:b w:val="0"/>
          <w:sz w:val="22"/>
          <w:szCs w:val="22"/>
        </w:rPr>
        <w:t xml:space="preserve"> </w:t>
      </w:r>
      <w:r w:rsidR="00F92272">
        <w:rPr>
          <w:rFonts w:eastAsia="Arial"/>
          <w:b w:val="0"/>
          <w:sz w:val="22"/>
          <w:szCs w:val="22"/>
        </w:rPr>
        <w:t xml:space="preserve">we will ensure that this </w:t>
      </w:r>
      <w:r w:rsidR="00475B5A">
        <w:rPr>
          <w:rFonts w:eastAsia="Arial"/>
          <w:b w:val="0"/>
          <w:sz w:val="22"/>
          <w:szCs w:val="22"/>
        </w:rPr>
        <w:t xml:space="preserve">legal </w:t>
      </w:r>
      <w:r w:rsidR="00F92272">
        <w:rPr>
          <w:rFonts w:eastAsia="Arial"/>
          <w:b w:val="0"/>
          <w:sz w:val="22"/>
          <w:szCs w:val="22"/>
        </w:rPr>
        <w:t xml:space="preserve">standard is met. </w:t>
      </w:r>
    </w:p>
    <w:p w:rsidR="00DD096B" w:rsidRDefault="00377384" w:rsidP="004B4564">
      <w:pPr>
        <w:pStyle w:val="Subheading"/>
        <w:numPr>
          <w:ilvl w:val="0"/>
          <w:numId w:val="7"/>
        </w:numPr>
        <w:ind w:left="993"/>
        <w:rPr>
          <w:rFonts w:eastAsia="Arial"/>
          <w:b w:val="0"/>
          <w:sz w:val="22"/>
          <w:szCs w:val="22"/>
        </w:rPr>
      </w:pPr>
      <w:r w:rsidRPr="00DB0AE5">
        <w:rPr>
          <w:rFonts w:eastAsia="Arial"/>
          <w:b w:val="0"/>
          <w:sz w:val="22"/>
          <w:szCs w:val="22"/>
        </w:rPr>
        <w:t>Wher</w:t>
      </w:r>
      <w:r w:rsidR="00DB0AE5">
        <w:rPr>
          <w:rFonts w:eastAsia="Arial"/>
          <w:b w:val="0"/>
          <w:sz w:val="22"/>
          <w:szCs w:val="22"/>
        </w:rPr>
        <w:t>e l</w:t>
      </w:r>
      <w:r w:rsidRPr="00DB0AE5">
        <w:rPr>
          <w:rFonts w:eastAsia="Arial"/>
          <w:b w:val="0"/>
          <w:sz w:val="22"/>
          <w:szCs w:val="22"/>
        </w:rPr>
        <w:t xml:space="preserve">ocal authority partners have set thresholds for </w:t>
      </w:r>
      <w:r w:rsidR="00DB0AE5">
        <w:rPr>
          <w:rFonts w:eastAsia="Arial"/>
          <w:b w:val="0"/>
          <w:sz w:val="22"/>
          <w:szCs w:val="22"/>
        </w:rPr>
        <w:t xml:space="preserve">earned </w:t>
      </w:r>
      <w:r w:rsidRPr="00DB0AE5">
        <w:rPr>
          <w:rFonts w:eastAsia="Arial"/>
          <w:b w:val="0"/>
          <w:sz w:val="22"/>
          <w:szCs w:val="22"/>
        </w:rPr>
        <w:t>applicant income, savings and/or asset value</w:t>
      </w:r>
      <w:r w:rsidR="00DB0AE5">
        <w:rPr>
          <w:rFonts w:eastAsia="Arial"/>
          <w:b w:val="0"/>
          <w:sz w:val="22"/>
          <w:szCs w:val="22"/>
        </w:rPr>
        <w:t>,</w:t>
      </w:r>
      <w:r w:rsidRPr="00DB0AE5">
        <w:rPr>
          <w:rFonts w:eastAsia="Arial"/>
          <w:b w:val="0"/>
          <w:sz w:val="22"/>
          <w:szCs w:val="22"/>
        </w:rPr>
        <w:t xml:space="preserve"> PA Housing will adopt these for transferring households.</w:t>
      </w:r>
      <w:r w:rsidR="004B4564">
        <w:rPr>
          <w:rFonts w:eastAsia="Arial"/>
          <w:b w:val="0"/>
          <w:sz w:val="22"/>
          <w:szCs w:val="22"/>
        </w:rPr>
        <w:t xml:space="preserve"> Households exceeding these thresholds will be deemed to have sufficient resources to meet their own housing needs.</w:t>
      </w:r>
      <w:r w:rsidRPr="00DB0AE5">
        <w:rPr>
          <w:rFonts w:eastAsia="Arial"/>
          <w:b w:val="0"/>
          <w:sz w:val="22"/>
          <w:szCs w:val="22"/>
        </w:rPr>
        <w:t xml:space="preserve"> </w:t>
      </w:r>
      <w:r w:rsidR="00DB0AE5" w:rsidRPr="00DB0AE5">
        <w:rPr>
          <w:rFonts w:eastAsia="Arial"/>
          <w:b w:val="0"/>
          <w:sz w:val="22"/>
          <w:szCs w:val="22"/>
        </w:rPr>
        <w:t>Where n</w:t>
      </w:r>
      <w:r w:rsidR="004B4564">
        <w:rPr>
          <w:rFonts w:eastAsia="Arial"/>
          <w:b w:val="0"/>
          <w:sz w:val="22"/>
          <w:szCs w:val="22"/>
        </w:rPr>
        <w:t>o limits are set we will apply a</w:t>
      </w:r>
      <w:r w:rsidR="00DB0AE5" w:rsidRPr="00DB0AE5">
        <w:rPr>
          <w:rFonts w:eastAsia="Arial"/>
          <w:b w:val="0"/>
          <w:sz w:val="22"/>
          <w:szCs w:val="22"/>
        </w:rPr>
        <w:t xml:space="preserve"> </w:t>
      </w:r>
      <w:r w:rsidR="008B6ACE">
        <w:rPr>
          <w:rFonts w:eastAsia="Arial"/>
          <w:b w:val="0"/>
          <w:sz w:val="22"/>
          <w:szCs w:val="22"/>
        </w:rPr>
        <w:t>threshold of £50,000 for household income</w:t>
      </w:r>
      <w:r w:rsidR="00DB0AE5">
        <w:rPr>
          <w:rFonts w:eastAsia="Arial"/>
          <w:b w:val="0"/>
          <w:sz w:val="22"/>
          <w:szCs w:val="22"/>
        </w:rPr>
        <w:t>.</w:t>
      </w:r>
      <w:r w:rsidR="008B6ACE">
        <w:rPr>
          <w:rFonts w:eastAsia="Arial"/>
          <w:b w:val="0"/>
          <w:sz w:val="22"/>
          <w:szCs w:val="22"/>
        </w:rPr>
        <w:t xml:space="preserve"> In the Midlands a threshold of £16,000 will apply for savings or asset value, in London and the South East this will be £30,000. </w:t>
      </w:r>
      <w:r w:rsidR="00DB0AE5" w:rsidRPr="004B4564">
        <w:rPr>
          <w:rFonts w:eastAsia="Arial"/>
          <w:b w:val="0"/>
          <w:sz w:val="22"/>
          <w:szCs w:val="22"/>
        </w:rPr>
        <w:t xml:space="preserve">Welfare benefits are excluded from income thresholds. Applicants above these limits will only be accepted with the approval of the Executive Director of Operations. Non-disclosure of savings, assets or income later identified will be classified as fraudulent </w:t>
      </w:r>
      <w:r w:rsidR="00F92272" w:rsidRPr="004B4564">
        <w:rPr>
          <w:rFonts w:eastAsia="Arial"/>
          <w:b w:val="0"/>
          <w:sz w:val="22"/>
          <w:szCs w:val="22"/>
        </w:rPr>
        <w:t xml:space="preserve">and could result in legal action to recover any property let under such </w:t>
      </w:r>
      <w:r w:rsidR="00F92272" w:rsidRPr="004B4564">
        <w:rPr>
          <w:rFonts w:eastAsia="Arial"/>
          <w:b w:val="0"/>
          <w:sz w:val="22"/>
          <w:szCs w:val="22"/>
          <w:lang w:val="en-GB"/>
        </w:rPr>
        <w:t>pretences</w:t>
      </w:r>
      <w:r w:rsidR="00F92272" w:rsidRPr="004B4564">
        <w:rPr>
          <w:rFonts w:eastAsia="Arial"/>
          <w:b w:val="0"/>
          <w:sz w:val="22"/>
          <w:szCs w:val="22"/>
        </w:rPr>
        <w:t>.</w:t>
      </w:r>
      <w:r w:rsidR="00DD096B" w:rsidRPr="004B4564">
        <w:rPr>
          <w:rFonts w:eastAsia="Arial"/>
          <w:b w:val="0"/>
          <w:sz w:val="22"/>
          <w:szCs w:val="22"/>
        </w:rPr>
        <w:t xml:space="preserve"> </w:t>
      </w:r>
    </w:p>
    <w:p w:rsidR="004B4564" w:rsidRPr="004B4564" w:rsidRDefault="004B4564" w:rsidP="004B4564">
      <w:pPr>
        <w:pStyle w:val="Subheading"/>
        <w:numPr>
          <w:ilvl w:val="0"/>
          <w:numId w:val="7"/>
        </w:numPr>
        <w:ind w:left="993"/>
        <w:rPr>
          <w:rFonts w:eastAsia="Arial"/>
          <w:b w:val="0"/>
          <w:sz w:val="22"/>
          <w:szCs w:val="22"/>
        </w:rPr>
      </w:pPr>
      <w:r>
        <w:rPr>
          <w:rFonts w:eastAsia="Arial"/>
          <w:b w:val="0"/>
          <w:sz w:val="22"/>
          <w:szCs w:val="22"/>
        </w:rPr>
        <w:t xml:space="preserve">Owner occupiers are not usually eligible to apply but may be considered for Independent Living schemes for older people where there is an evidenced need </w:t>
      </w:r>
      <w:r>
        <w:rPr>
          <w:rFonts w:eastAsia="Arial"/>
          <w:b w:val="0"/>
          <w:sz w:val="22"/>
          <w:szCs w:val="22"/>
        </w:rPr>
        <w:lastRenderedPageBreak/>
        <w:t>and they have insufficient equity in their home for any alternative options, as per the asset value thresholds stated.</w:t>
      </w:r>
    </w:p>
    <w:p w:rsidR="00DD096B" w:rsidRDefault="003F43E3" w:rsidP="00B42784">
      <w:pPr>
        <w:pStyle w:val="Subheading"/>
        <w:numPr>
          <w:ilvl w:val="0"/>
          <w:numId w:val="7"/>
        </w:numPr>
        <w:ind w:left="993"/>
        <w:rPr>
          <w:rFonts w:eastAsia="Arial"/>
          <w:b w:val="0"/>
          <w:sz w:val="22"/>
          <w:szCs w:val="22"/>
        </w:rPr>
      </w:pPr>
      <w:r>
        <w:rPr>
          <w:rFonts w:eastAsia="Arial"/>
          <w:b w:val="0"/>
          <w:sz w:val="22"/>
          <w:szCs w:val="22"/>
        </w:rPr>
        <w:t>Current</w:t>
      </w:r>
      <w:r w:rsidR="00DD096B">
        <w:rPr>
          <w:rFonts w:eastAsia="Arial"/>
          <w:b w:val="0"/>
          <w:sz w:val="22"/>
          <w:szCs w:val="22"/>
        </w:rPr>
        <w:t xml:space="preserve"> tenants </w:t>
      </w:r>
      <w:r>
        <w:rPr>
          <w:rFonts w:eastAsia="Arial"/>
          <w:b w:val="0"/>
          <w:sz w:val="22"/>
          <w:szCs w:val="22"/>
        </w:rPr>
        <w:t xml:space="preserve">of PA Housing </w:t>
      </w:r>
      <w:r w:rsidR="00DD096B">
        <w:rPr>
          <w:rFonts w:eastAsia="Arial"/>
          <w:b w:val="0"/>
          <w:sz w:val="22"/>
          <w:szCs w:val="22"/>
        </w:rPr>
        <w:t xml:space="preserve">are required to have lived at their current property for a minimum of 12 months before they can apply for a transfer. They must also have completed successfully any starter or introductory period of their tenancy. </w:t>
      </w:r>
    </w:p>
    <w:p w:rsidR="00DD096B" w:rsidRDefault="00DD096B" w:rsidP="00B42784">
      <w:pPr>
        <w:pStyle w:val="Subheading"/>
        <w:numPr>
          <w:ilvl w:val="0"/>
          <w:numId w:val="7"/>
        </w:numPr>
        <w:ind w:left="993"/>
        <w:rPr>
          <w:rFonts w:eastAsia="Arial"/>
          <w:b w:val="0"/>
          <w:sz w:val="22"/>
          <w:szCs w:val="22"/>
        </w:rPr>
      </w:pPr>
      <w:r>
        <w:rPr>
          <w:rFonts w:eastAsia="Arial"/>
          <w:b w:val="0"/>
          <w:sz w:val="22"/>
          <w:szCs w:val="22"/>
        </w:rPr>
        <w:t>Tenants must also have maintained their current home to an acceptable standard, as identified by a pre-transfer inspection. Any debt for rechargeable works must be cleared.</w:t>
      </w:r>
    </w:p>
    <w:p w:rsidR="00FF5392" w:rsidRDefault="00DD096B" w:rsidP="00B42784">
      <w:pPr>
        <w:pStyle w:val="Subheading"/>
        <w:numPr>
          <w:ilvl w:val="0"/>
          <w:numId w:val="7"/>
        </w:numPr>
        <w:ind w:left="993"/>
        <w:rPr>
          <w:rFonts w:eastAsia="Arial"/>
          <w:b w:val="0"/>
          <w:sz w:val="22"/>
          <w:szCs w:val="22"/>
        </w:rPr>
      </w:pPr>
      <w:r>
        <w:rPr>
          <w:rFonts w:eastAsia="Arial"/>
          <w:b w:val="0"/>
          <w:sz w:val="22"/>
          <w:szCs w:val="22"/>
        </w:rPr>
        <w:t xml:space="preserve">Tenants wishing to transfer who have arrears of rent might only be considered at the discretion of the Head of Income and Inclusion or equivalent role, and </w:t>
      </w:r>
      <w:r w:rsidR="00FF5392">
        <w:rPr>
          <w:rFonts w:eastAsia="Arial"/>
          <w:b w:val="0"/>
          <w:sz w:val="22"/>
          <w:szCs w:val="22"/>
        </w:rPr>
        <w:t>the following guidance should be used – Arrears under £500 to be cleared in full wherever possible, or a minimum of 3 months adherence to repayment plan. Arrears of £501-£1000 – minimum of 6 months adherence to repayment plan. Arrears of over £1000 will only be considered in exceptional cases.</w:t>
      </w:r>
    </w:p>
    <w:p w:rsidR="00B44B6B" w:rsidRDefault="004F6D1E" w:rsidP="00B42784">
      <w:pPr>
        <w:pStyle w:val="Subheading"/>
        <w:numPr>
          <w:ilvl w:val="0"/>
          <w:numId w:val="7"/>
        </w:numPr>
        <w:ind w:left="993"/>
        <w:rPr>
          <w:rFonts w:eastAsia="Arial"/>
          <w:b w:val="0"/>
          <w:sz w:val="22"/>
          <w:szCs w:val="22"/>
        </w:rPr>
      </w:pPr>
      <w:r>
        <w:rPr>
          <w:rFonts w:eastAsia="Arial"/>
          <w:b w:val="0"/>
          <w:sz w:val="22"/>
          <w:szCs w:val="22"/>
        </w:rPr>
        <w:t xml:space="preserve">Any applicant who has threatened PA Housing staff or representatives will not be eligible, unless </w:t>
      </w:r>
      <w:r w:rsidRPr="001D1DB6">
        <w:rPr>
          <w:rFonts w:eastAsia="Arial"/>
          <w:b w:val="0"/>
          <w:sz w:val="22"/>
          <w:szCs w:val="22"/>
          <w:lang w:val="en-GB"/>
        </w:rPr>
        <w:t>authori</w:t>
      </w:r>
      <w:r w:rsidR="001D1DB6" w:rsidRPr="001D1DB6">
        <w:rPr>
          <w:rFonts w:eastAsia="Arial"/>
          <w:b w:val="0"/>
          <w:sz w:val="22"/>
          <w:szCs w:val="22"/>
          <w:lang w:val="en-GB"/>
        </w:rPr>
        <w:t>s</w:t>
      </w:r>
      <w:r w:rsidRPr="001D1DB6">
        <w:rPr>
          <w:rFonts w:eastAsia="Arial"/>
          <w:b w:val="0"/>
          <w:sz w:val="22"/>
          <w:szCs w:val="22"/>
          <w:lang w:val="en-GB"/>
        </w:rPr>
        <w:t>ed</w:t>
      </w:r>
      <w:r>
        <w:rPr>
          <w:rFonts w:eastAsia="Arial"/>
          <w:b w:val="0"/>
          <w:sz w:val="22"/>
          <w:szCs w:val="22"/>
        </w:rPr>
        <w:t xml:space="preserve"> by the Executive Director of Operations.</w:t>
      </w:r>
    </w:p>
    <w:p w:rsidR="00DD096B" w:rsidRPr="00552D63" w:rsidRDefault="00951098" w:rsidP="00552D63">
      <w:pPr>
        <w:pStyle w:val="Subheading"/>
        <w:numPr>
          <w:ilvl w:val="0"/>
          <w:numId w:val="7"/>
        </w:numPr>
        <w:spacing w:after="0"/>
        <w:ind w:left="993"/>
        <w:rPr>
          <w:rFonts w:eastAsia="Arial"/>
          <w:b w:val="0"/>
          <w:sz w:val="22"/>
          <w:szCs w:val="22"/>
        </w:rPr>
      </w:pPr>
      <w:r>
        <w:rPr>
          <w:rFonts w:eastAsia="Arial"/>
          <w:b w:val="0"/>
          <w:sz w:val="22"/>
          <w:szCs w:val="22"/>
        </w:rPr>
        <w:t>Any applicant who has paid money to illegally obtain a tenancy, or otherwise obtained a tenancy by deception; or any applicant who has committed a breach of tenancy that would have entitled the landlord to possession under a Ground listed in schedule 2 of the Housing Act 1988 will not be eligible.</w:t>
      </w:r>
    </w:p>
    <w:p w:rsidR="00552D63" w:rsidRDefault="00552D63" w:rsidP="00552D63">
      <w:pPr>
        <w:pStyle w:val="Subheading"/>
        <w:ind w:firstLine="0"/>
        <w:rPr>
          <w:sz w:val="22"/>
        </w:rPr>
      </w:pPr>
    </w:p>
    <w:p w:rsidR="006C018D" w:rsidRPr="00241A6D" w:rsidRDefault="006C018D" w:rsidP="00552D63">
      <w:pPr>
        <w:pStyle w:val="Subheading"/>
        <w:numPr>
          <w:ilvl w:val="1"/>
          <w:numId w:val="20"/>
        </w:numPr>
        <w:ind w:left="567" w:hanging="567"/>
        <w:rPr>
          <w:sz w:val="22"/>
        </w:rPr>
      </w:pPr>
      <w:r w:rsidRPr="00241A6D">
        <w:rPr>
          <w:sz w:val="22"/>
        </w:rPr>
        <w:t xml:space="preserve">Treatment of previously evicted applicants </w:t>
      </w:r>
    </w:p>
    <w:p w:rsidR="006C018D" w:rsidRDefault="006C018D" w:rsidP="00A736A1">
      <w:pPr>
        <w:pStyle w:val="Subheading"/>
        <w:ind w:firstLine="0"/>
        <w:rPr>
          <w:b w:val="0"/>
          <w:sz w:val="22"/>
        </w:rPr>
      </w:pPr>
      <w:r>
        <w:rPr>
          <w:b w:val="0"/>
          <w:sz w:val="22"/>
        </w:rPr>
        <w:t xml:space="preserve">Whilst the new PA Housing tenancy agreement introduced in 2017 indicates that if a tenant evicted or abandons their home they will not be given another home by PA Housing in the future, previous tenants who have been evicted might be nominated by a Local Authority as part of a future Homeless duty. </w:t>
      </w:r>
    </w:p>
    <w:p w:rsidR="006C018D" w:rsidRDefault="006C018D" w:rsidP="00A736A1">
      <w:pPr>
        <w:pStyle w:val="Subheading"/>
        <w:ind w:firstLine="0"/>
        <w:rPr>
          <w:b w:val="0"/>
          <w:sz w:val="22"/>
        </w:rPr>
      </w:pPr>
      <w:r>
        <w:rPr>
          <w:b w:val="0"/>
          <w:sz w:val="22"/>
        </w:rPr>
        <w:t xml:space="preserve">For the avoidance of doubt any such applicant / household will be ineligible for PA Housing accommodation for the </w:t>
      </w:r>
      <w:r w:rsidR="00F85B2C">
        <w:rPr>
          <w:b w:val="0"/>
          <w:sz w:val="22"/>
        </w:rPr>
        <w:t xml:space="preserve">minimum </w:t>
      </w:r>
      <w:r>
        <w:rPr>
          <w:b w:val="0"/>
          <w:sz w:val="22"/>
        </w:rPr>
        <w:t>periods stated in the table below:</w:t>
      </w:r>
    </w:p>
    <w:p w:rsidR="00033480" w:rsidRDefault="00033480" w:rsidP="00A736A1">
      <w:pPr>
        <w:pStyle w:val="Subheading"/>
        <w:ind w:firstLine="0"/>
        <w:rPr>
          <w:b w:val="0"/>
          <w:sz w:val="22"/>
        </w:rPr>
      </w:pPr>
    </w:p>
    <w:tbl>
      <w:tblPr>
        <w:tblStyle w:val="TableGrid"/>
        <w:tblW w:w="0" w:type="auto"/>
        <w:tblInd w:w="993" w:type="dxa"/>
        <w:tblLook w:val="04A0" w:firstRow="1" w:lastRow="0" w:firstColumn="1" w:lastColumn="0" w:noHBand="0" w:noVBand="1"/>
      </w:tblPr>
      <w:tblGrid>
        <w:gridCol w:w="2659"/>
        <w:gridCol w:w="4820"/>
      </w:tblGrid>
      <w:tr w:rsidR="00033480" w:rsidTr="00033480">
        <w:tc>
          <w:tcPr>
            <w:tcW w:w="2659" w:type="dxa"/>
          </w:tcPr>
          <w:p w:rsidR="00033480" w:rsidRDefault="00033480" w:rsidP="003C601A">
            <w:pPr>
              <w:pStyle w:val="Subheading"/>
              <w:ind w:left="0" w:firstLine="0"/>
              <w:rPr>
                <w:b w:val="0"/>
                <w:sz w:val="22"/>
              </w:rPr>
            </w:pPr>
          </w:p>
        </w:tc>
        <w:tc>
          <w:tcPr>
            <w:tcW w:w="4820" w:type="dxa"/>
          </w:tcPr>
          <w:p w:rsidR="00033480" w:rsidRDefault="00033480" w:rsidP="003C601A">
            <w:pPr>
              <w:pStyle w:val="Subheading"/>
              <w:ind w:left="0" w:firstLine="0"/>
              <w:rPr>
                <w:b w:val="0"/>
                <w:sz w:val="22"/>
              </w:rPr>
            </w:pPr>
            <w:r>
              <w:rPr>
                <w:b w:val="0"/>
                <w:sz w:val="22"/>
              </w:rPr>
              <w:t>All sub-regions:</w:t>
            </w:r>
          </w:p>
        </w:tc>
      </w:tr>
      <w:tr w:rsidR="00033480" w:rsidTr="00033480">
        <w:tc>
          <w:tcPr>
            <w:tcW w:w="2659" w:type="dxa"/>
          </w:tcPr>
          <w:p w:rsidR="00033480" w:rsidRDefault="00033480" w:rsidP="003C601A">
            <w:pPr>
              <w:pStyle w:val="Subheading"/>
              <w:ind w:left="0" w:firstLine="0"/>
              <w:rPr>
                <w:b w:val="0"/>
                <w:sz w:val="22"/>
              </w:rPr>
            </w:pPr>
            <w:r>
              <w:rPr>
                <w:b w:val="0"/>
                <w:sz w:val="22"/>
              </w:rPr>
              <w:t xml:space="preserve">Anti-social </w:t>
            </w:r>
            <w:proofErr w:type="spellStart"/>
            <w:r>
              <w:rPr>
                <w:b w:val="0"/>
                <w:sz w:val="22"/>
              </w:rPr>
              <w:t>behaviour</w:t>
            </w:r>
            <w:proofErr w:type="spellEnd"/>
          </w:p>
        </w:tc>
        <w:tc>
          <w:tcPr>
            <w:tcW w:w="4820" w:type="dxa"/>
          </w:tcPr>
          <w:p w:rsidR="00033480" w:rsidRDefault="00033480" w:rsidP="00F85B2C">
            <w:pPr>
              <w:pStyle w:val="Subheading"/>
              <w:ind w:left="0" w:firstLine="0"/>
              <w:rPr>
                <w:b w:val="0"/>
                <w:sz w:val="22"/>
              </w:rPr>
            </w:pPr>
            <w:r>
              <w:rPr>
                <w:b w:val="0"/>
                <w:sz w:val="22"/>
              </w:rPr>
              <w:t>10 years</w:t>
            </w:r>
            <w:r w:rsidR="00F85B2C">
              <w:rPr>
                <w:b w:val="0"/>
                <w:sz w:val="22"/>
              </w:rPr>
              <w:t xml:space="preserve"> (subject to risk assessment / review of legal action)</w:t>
            </w:r>
          </w:p>
        </w:tc>
      </w:tr>
      <w:tr w:rsidR="00033480" w:rsidTr="00033480">
        <w:tc>
          <w:tcPr>
            <w:tcW w:w="2659" w:type="dxa"/>
          </w:tcPr>
          <w:p w:rsidR="00033480" w:rsidRDefault="00033480" w:rsidP="003C601A">
            <w:pPr>
              <w:pStyle w:val="Subheading"/>
              <w:ind w:left="0" w:firstLine="0"/>
              <w:rPr>
                <w:b w:val="0"/>
                <w:sz w:val="22"/>
              </w:rPr>
            </w:pPr>
            <w:r>
              <w:rPr>
                <w:b w:val="0"/>
                <w:sz w:val="22"/>
              </w:rPr>
              <w:t>Rent Arrears</w:t>
            </w:r>
          </w:p>
        </w:tc>
        <w:tc>
          <w:tcPr>
            <w:tcW w:w="4820" w:type="dxa"/>
          </w:tcPr>
          <w:p w:rsidR="00033480" w:rsidRDefault="00033480" w:rsidP="003C601A">
            <w:pPr>
              <w:pStyle w:val="Subheading"/>
              <w:ind w:left="0" w:firstLine="0"/>
              <w:rPr>
                <w:b w:val="0"/>
                <w:sz w:val="22"/>
              </w:rPr>
            </w:pPr>
            <w:r>
              <w:rPr>
                <w:b w:val="0"/>
                <w:sz w:val="22"/>
              </w:rPr>
              <w:t>5 years (plus repayment of the debt)</w:t>
            </w:r>
          </w:p>
        </w:tc>
      </w:tr>
      <w:tr w:rsidR="00033480" w:rsidTr="00033480">
        <w:tc>
          <w:tcPr>
            <w:tcW w:w="2659" w:type="dxa"/>
          </w:tcPr>
          <w:p w:rsidR="00033480" w:rsidRDefault="00033480" w:rsidP="003C601A">
            <w:pPr>
              <w:pStyle w:val="Subheading"/>
              <w:ind w:left="0" w:firstLine="0"/>
              <w:rPr>
                <w:b w:val="0"/>
                <w:sz w:val="22"/>
              </w:rPr>
            </w:pPr>
            <w:r>
              <w:rPr>
                <w:b w:val="0"/>
                <w:sz w:val="22"/>
              </w:rPr>
              <w:t>Tenancy fraud</w:t>
            </w:r>
          </w:p>
        </w:tc>
        <w:tc>
          <w:tcPr>
            <w:tcW w:w="4820" w:type="dxa"/>
          </w:tcPr>
          <w:p w:rsidR="00033480" w:rsidRDefault="00033480" w:rsidP="003C601A">
            <w:pPr>
              <w:pStyle w:val="Subheading"/>
              <w:ind w:left="0" w:firstLine="0"/>
              <w:rPr>
                <w:b w:val="0"/>
                <w:sz w:val="22"/>
              </w:rPr>
            </w:pPr>
            <w:r>
              <w:rPr>
                <w:b w:val="0"/>
                <w:sz w:val="22"/>
              </w:rPr>
              <w:t xml:space="preserve">Permanently </w:t>
            </w:r>
          </w:p>
        </w:tc>
      </w:tr>
    </w:tbl>
    <w:p w:rsidR="006C018D" w:rsidRPr="00DB0AE5" w:rsidRDefault="006C018D" w:rsidP="00DB0AE5">
      <w:pPr>
        <w:pStyle w:val="Subheading"/>
        <w:ind w:left="930" w:firstLine="0"/>
        <w:rPr>
          <w:rFonts w:eastAsia="Arial"/>
          <w:sz w:val="22"/>
          <w:szCs w:val="22"/>
        </w:rPr>
      </w:pPr>
    </w:p>
    <w:p w:rsidR="00DD096B" w:rsidRPr="001A668C" w:rsidRDefault="001A668C" w:rsidP="00552D63">
      <w:pPr>
        <w:pStyle w:val="Subheading"/>
        <w:numPr>
          <w:ilvl w:val="1"/>
          <w:numId w:val="20"/>
        </w:numPr>
        <w:ind w:left="567" w:hanging="567"/>
        <w:rPr>
          <w:rFonts w:eastAsia="Arial"/>
          <w:sz w:val="22"/>
          <w:szCs w:val="22"/>
        </w:rPr>
      </w:pPr>
      <w:r w:rsidRPr="001A668C">
        <w:rPr>
          <w:rFonts w:eastAsia="Arial"/>
          <w:sz w:val="22"/>
          <w:szCs w:val="22"/>
        </w:rPr>
        <w:t>Qualification</w:t>
      </w:r>
    </w:p>
    <w:p w:rsidR="006447D2" w:rsidRDefault="00377384" w:rsidP="00A736A1">
      <w:pPr>
        <w:pStyle w:val="Subheading"/>
        <w:ind w:firstLine="0"/>
        <w:rPr>
          <w:rFonts w:eastAsia="Arial"/>
          <w:b w:val="0"/>
          <w:sz w:val="22"/>
          <w:szCs w:val="22"/>
        </w:rPr>
      </w:pPr>
      <w:r>
        <w:rPr>
          <w:rFonts w:eastAsia="Arial"/>
          <w:b w:val="0"/>
          <w:sz w:val="22"/>
          <w:szCs w:val="22"/>
        </w:rPr>
        <w:t>Applicants for Independent Living schemes for older pe</w:t>
      </w:r>
      <w:r w:rsidR="00DD096B">
        <w:rPr>
          <w:rFonts w:eastAsia="Arial"/>
          <w:b w:val="0"/>
          <w:sz w:val="22"/>
          <w:szCs w:val="22"/>
        </w:rPr>
        <w:t>ople should be aged 55 or over.</w:t>
      </w:r>
      <w:r w:rsidR="007418B4">
        <w:rPr>
          <w:rFonts w:eastAsia="Arial"/>
          <w:b w:val="0"/>
          <w:sz w:val="22"/>
          <w:szCs w:val="22"/>
        </w:rPr>
        <w:t xml:space="preserve"> Where any other age restrictions apply, for example general needs properties for over 50 year olds, both PA Housing and the local authority will comply.</w:t>
      </w:r>
      <w:r w:rsidR="00BA2E47">
        <w:rPr>
          <w:rFonts w:eastAsia="Arial"/>
          <w:b w:val="0"/>
          <w:sz w:val="22"/>
          <w:szCs w:val="22"/>
        </w:rPr>
        <w:t xml:space="preserve"> Where Independent Living properties are advertised on a choice based lettings scheme applicants may be bypassed if the move would be of no demonstrable benefit to their housing needs (for example moves within a scheme on the same floor level).</w:t>
      </w:r>
    </w:p>
    <w:p w:rsidR="00446F17" w:rsidRDefault="00446F17" w:rsidP="00A736A1">
      <w:pPr>
        <w:pStyle w:val="Subheading"/>
        <w:ind w:firstLine="0"/>
        <w:rPr>
          <w:rFonts w:eastAsia="Arial"/>
          <w:b w:val="0"/>
          <w:sz w:val="22"/>
          <w:szCs w:val="22"/>
        </w:rPr>
      </w:pPr>
      <w:r>
        <w:rPr>
          <w:rFonts w:eastAsia="Arial"/>
          <w:b w:val="0"/>
          <w:sz w:val="22"/>
          <w:szCs w:val="22"/>
        </w:rPr>
        <w:t>We may assess the needs of older applicants to ensure that these can be met by the services available at any given scheme.</w:t>
      </w:r>
    </w:p>
    <w:p w:rsidR="00E06948" w:rsidRDefault="00E06948" w:rsidP="00A736A1">
      <w:pPr>
        <w:pStyle w:val="Subheading"/>
        <w:ind w:firstLine="0"/>
        <w:rPr>
          <w:rFonts w:eastAsia="Arial"/>
          <w:b w:val="0"/>
          <w:sz w:val="22"/>
          <w:szCs w:val="22"/>
        </w:rPr>
      </w:pPr>
      <w:r>
        <w:rPr>
          <w:rFonts w:eastAsia="Arial"/>
          <w:b w:val="0"/>
          <w:sz w:val="22"/>
          <w:szCs w:val="22"/>
        </w:rPr>
        <w:t>PA Housing will seek to ensure that an</w:t>
      </w:r>
      <w:r w:rsidR="003F43E3">
        <w:rPr>
          <w:rFonts w:eastAsia="Arial"/>
          <w:b w:val="0"/>
          <w:sz w:val="22"/>
          <w:szCs w:val="22"/>
        </w:rPr>
        <w:t>y</w:t>
      </w:r>
      <w:r>
        <w:rPr>
          <w:rFonts w:eastAsia="Arial"/>
          <w:b w:val="0"/>
          <w:sz w:val="22"/>
          <w:szCs w:val="22"/>
        </w:rPr>
        <w:t xml:space="preserve"> applicant nominated or considered for transfer meets the qualifying criteria</w:t>
      </w:r>
      <w:r w:rsidR="003F43E3">
        <w:rPr>
          <w:rFonts w:eastAsia="Arial"/>
          <w:b w:val="0"/>
          <w:sz w:val="22"/>
          <w:szCs w:val="22"/>
        </w:rPr>
        <w:t xml:space="preserve"> for the property in terms of:</w:t>
      </w:r>
    </w:p>
    <w:p w:rsidR="00E06948" w:rsidRDefault="00E06948" w:rsidP="00B42784">
      <w:pPr>
        <w:pStyle w:val="Subheading"/>
        <w:numPr>
          <w:ilvl w:val="0"/>
          <w:numId w:val="10"/>
        </w:numPr>
        <w:ind w:left="993" w:hanging="425"/>
        <w:rPr>
          <w:rFonts w:eastAsia="Arial"/>
          <w:b w:val="0"/>
          <w:sz w:val="22"/>
          <w:szCs w:val="22"/>
        </w:rPr>
      </w:pPr>
      <w:r>
        <w:rPr>
          <w:rFonts w:eastAsia="Arial"/>
          <w:b w:val="0"/>
          <w:sz w:val="22"/>
          <w:szCs w:val="22"/>
        </w:rPr>
        <w:t>Being physically suitable for the applicant, for example due to size, floor level, or disability access needs</w:t>
      </w:r>
    </w:p>
    <w:p w:rsidR="00E06948" w:rsidRDefault="00E06948" w:rsidP="00B42784">
      <w:pPr>
        <w:pStyle w:val="Subheading"/>
        <w:numPr>
          <w:ilvl w:val="0"/>
          <w:numId w:val="10"/>
        </w:numPr>
        <w:ind w:left="993" w:hanging="425"/>
        <w:rPr>
          <w:rFonts w:eastAsia="Arial"/>
          <w:b w:val="0"/>
          <w:sz w:val="22"/>
          <w:szCs w:val="22"/>
        </w:rPr>
      </w:pPr>
      <w:r>
        <w:rPr>
          <w:rFonts w:eastAsia="Arial"/>
          <w:b w:val="0"/>
          <w:sz w:val="22"/>
          <w:szCs w:val="22"/>
        </w:rPr>
        <w:lastRenderedPageBreak/>
        <w:t xml:space="preserve">That any </w:t>
      </w:r>
      <w:r w:rsidR="00097E82">
        <w:rPr>
          <w:rFonts w:eastAsia="Arial"/>
          <w:b w:val="0"/>
          <w:sz w:val="22"/>
          <w:szCs w:val="22"/>
        </w:rPr>
        <w:t xml:space="preserve">specific </w:t>
      </w:r>
      <w:r>
        <w:rPr>
          <w:rFonts w:eastAsia="Arial"/>
          <w:b w:val="0"/>
          <w:sz w:val="22"/>
          <w:szCs w:val="22"/>
        </w:rPr>
        <w:t xml:space="preserve">criteria for a particular client group are met </w:t>
      </w:r>
    </w:p>
    <w:p w:rsidR="00347605" w:rsidRDefault="00B64CF4" w:rsidP="00B42784">
      <w:pPr>
        <w:pStyle w:val="Subheading"/>
        <w:numPr>
          <w:ilvl w:val="0"/>
          <w:numId w:val="10"/>
        </w:numPr>
        <w:ind w:left="993" w:hanging="425"/>
        <w:rPr>
          <w:rFonts w:eastAsia="Arial"/>
          <w:b w:val="0"/>
          <w:sz w:val="22"/>
          <w:szCs w:val="22"/>
        </w:rPr>
      </w:pPr>
      <w:r>
        <w:rPr>
          <w:rFonts w:eastAsia="Arial"/>
          <w:b w:val="0"/>
          <w:sz w:val="22"/>
          <w:szCs w:val="22"/>
        </w:rPr>
        <w:t>Where any property has been advertised specifying preference to applicants with a particular Local Connection, that this is met and evidenced.</w:t>
      </w:r>
    </w:p>
    <w:p w:rsidR="00446F17" w:rsidRDefault="00E06948" w:rsidP="00B42784">
      <w:pPr>
        <w:pStyle w:val="Subheading"/>
        <w:numPr>
          <w:ilvl w:val="0"/>
          <w:numId w:val="10"/>
        </w:numPr>
        <w:ind w:left="993" w:hanging="425"/>
        <w:rPr>
          <w:rFonts w:eastAsia="Arial"/>
          <w:b w:val="0"/>
          <w:sz w:val="22"/>
          <w:szCs w:val="22"/>
        </w:rPr>
      </w:pPr>
      <w:r>
        <w:rPr>
          <w:rFonts w:eastAsia="Arial"/>
          <w:b w:val="0"/>
          <w:sz w:val="22"/>
          <w:szCs w:val="22"/>
        </w:rPr>
        <w:t>That the nominee or a member of their family</w:t>
      </w:r>
      <w:r w:rsidR="00446F17">
        <w:rPr>
          <w:rFonts w:eastAsia="Arial"/>
          <w:b w:val="0"/>
          <w:sz w:val="22"/>
          <w:szCs w:val="22"/>
        </w:rPr>
        <w:t xml:space="preserve"> would not, i</w:t>
      </w:r>
      <w:r>
        <w:rPr>
          <w:rFonts w:eastAsia="Arial"/>
          <w:b w:val="0"/>
          <w:sz w:val="22"/>
          <w:szCs w:val="22"/>
        </w:rPr>
        <w:t xml:space="preserve">n our opinion, be </w:t>
      </w:r>
      <w:r w:rsidR="00446F17">
        <w:rPr>
          <w:rFonts w:eastAsia="Arial"/>
          <w:b w:val="0"/>
          <w:sz w:val="22"/>
          <w:szCs w:val="22"/>
        </w:rPr>
        <w:t>likely to cause, or be the victim of, a serious housing management problem at the property (This would not necessarily preclude the offer of another property elsewhere and is usually described as a ‘sensitive let’)</w:t>
      </w:r>
    </w:p>
    <w:p w:rsidR="0084510F" w:rsidRDefault="00446F17" w:rsidP="00552D63">
      <w:pPr>
        <w:pStyle w:val="Subheading"/>
        <w:numPr>
          <w:ilvl w:val="0"/>
          <w:numId w:val="10"/>
        </w:numPr>
        <w:spacing w:after="0"/>
        <w:ind w:left="993" w:hanging="425"/>
        <w:rPr>
          <w:rFonts w:eastAsia="Arial"/>
          <w:b w:val="0"/>
          <w:sz w:val="22"/>
          <w:szCs w:val="22"/>
        </w:rPr>
      </w:pPr>
      <w:r>
        <w:rPr>
          <w:rFonts w:eastAsia="Arial"/>
          <w:b w:val="0"/>
          <w:sz w:val="22"/>
          <w:szCs w:val="22"/>
        </w:rPr>
        <w:t>That the nominee will be able to conduct their tenancy satisfactorily, with tenancy sustainment or other agency floating support if needed. If support is needed then PA Housing will seek additional information to confirm engagement with the support by the applicant.</w:t>
      </w:r>
    </w:p>
    <w:p w:rsidR="00552D63" w:rsidRPr="00552D63" w:rsidRDefault="00552D63" w:rsidP="00552D63">
      <w:pPr>
        <w:pStyle w:val="Subheading"/>
        <w:spacing w:after="0"/>
        <w:ind w:left="993" w:firstLine="0"/>
        <w:rPr>
          <w:rFonts w:eastAsia="Arial"/>
          <w:b w:val="0"/>
          <w:sz w:val="22"/>
          <w:szCs w:val="22"/>
        </w:rPr>
      </w:pPr>
    </w:p>
    <w:p w:rsidR="003B1CA1" w:rsidRPr="0015106E" w:rsidRDefault="003B1CA1" w:rsidP="00552D63">
      <w:pPr>
        <w:pStyle w:val="Subheading"/>
        <w:numPr>
          <w:ilvl w:val="1"/>
          <w:numId w:val="20"/>
        </w:numPr>
        <w:spacing w:after="0"/>
        <w:ind w:left="567" w:hanging="567"/>
        <w:rPr>
          <w:rFonts w:eastAsia="Arial"/>
          <w:color w:val="auto"/>
          <w:sz w:val="22"/>
          <w:szCs w:val="22"/>
        </w:rPr>
      </w:pPr>
      <w:r w:rsidRPr="0015106E">
        <w:rPr>
          <w:rFonts w:eastAsia="Arial"/>
          <w:color w:val="auto"/>
          <w:sz w:val="22"/>
          <w:szCs w:val="22"/>
        </w:rPr>
        <w:t>Verification</w:t>
      </w:r>
      <w:r w:rsidR="006B2446" w:rsidRPr="0015106E">
        <w:rPr>
          <w:rFonts w:eastAsia="Arial"/>
          <w:color w:val="auto"/>
          <w:sz w:val="22"/>
          <w:szCs w:val="22"/>
        </w:rPr>
        <w:t xml:space="preserve"> </w:t>
      </w:r>
    </w:p>
    <w:p w:rsidR="0015106E" w:rsidRDefault="0015106E" w:rsidP="00A736A1">
      <w:pPr>
        <w:pStyle w:val="Subheading"/>
        <w:ind w:firstLine="0"/>
        <w:rPr>
          <w:rFonts w:eastAsia="Arial"/>
          <w:b w:val="0"/>
          <w:color w:val="auto"/>
          <w:sz w:val="22"/>
          <w:szCs w:val="22"/>
        </w:rPr>
      </w:pPr>
      <w:r w:rsidRPr="0015106E">
        <w:rPr>
          <w:rFonts w:eastAsia="Arial"/>
          <w:b w:val="0"/>
          <w:color w:val="auto"/>
          <w:sz w:val="22"/>
          <w:szCs w:val="22"/>
        </w:rPr>
        <w:t xml:space="preserve">PA Housing will </w:t>
      </w:r>
      <w:r>
        <w:rPr>
          <w:rFonts w:eastAsia="Arial"/>
          <w:b w:val="0"/>
          <w:color w:val="auto"/>
          <w:sz w:val="22"/>
          <w:szCs w:val="22"/>
        </w:rPr>
        <w:t xml:space="preserve">always request and retain a copy of photographic ID for all incoming residents at the point at which they are made an offer of accommodation. </w:t>
      </w:r>
      <w:r w:rsidR="00A24835">
        <w:rPr>
          <w:rFonts w:eastAsia="Arial"/>
          <w:b w:val="0"/>
          <w:color w:val="auto"/>
          <w:sz w:val="22"/>
          <w:szCs w:val="22"/>
        </w:rPr>
        <w:t xml:space="preserve">We will also take a photo of the resident. </w:t>
      </w:r>
      <w:r>
        <w:rPr>
          <w:rFonts w:eastAsia="Arial"/>
          <w:b w:val="0"/>
          <w:color w:val="auto"/>
          <w:sz w:val="22"/>
          <w:szCs w:val="22"/>
        </w:rPr>
        <w:t xml:space="preserve">This is to guard against future tenancy fraud and to ensure that the applicants’ details match those provided by the nominating authority. For direct applicants we will carry out Right to </w:t>
      </w:r>
      <w:proofErr w:type="gramStart"/>
      <w:r>
        <w:rPr>
          <w:rFonts w:eastAsia="Arial"/>
          <w:b w:val="0"/>
          <w:color w:val="auto"/>
          <w:sz w:val="22"/>
          <w:szCs w:val="22"/>
        </w:rPr>
        <w:t>Rent</w:t>
      </w:r>
      <w:proofErr w:type="gramEnd"/>
      <w:r>
        <w:rPr>
          <w:rFonts w:eastAsia="Arial"/>
          <w:b w:val="0"/>
          <w:color w:val="auto"/>
          <w:sz w:val="22"/>
          <w:szCs w:val="22"/>
        </w:rPr>
        <w:t xml:space="preserve"> checks in accordance with Home Office guidance. We may also carry out additional checks including, but not limited to, </w:t>
      </w:r>
    </w:p>
    <w:p w:rsidR="0015106E" w:rsidRDefault="000325E3" w:rsidP="0015106E">
      <w:pPr>
        <w:pStyle w:val="Subheading"/>
        <w:numPr>
          <w:ilvl w:val="0"/>
          <w:numId w:val="12"/>
        </w:numPr>
        <w:ind w:left="1276" w:hanging="425"/>
        <w:rPr>
          <w:rFonts w:eastAsia="Arial"/>
          <w:b w:val="0"/>
          <w:color w:val="auto"/>
          <w:sz w:val="22"/>
          <w:szCs w:val="22"/>
        </w:rPr>
      </w:pPr>
      <w:r>
        <w:rPr>
          <w:rFonts w:eastAsia="Arial"/>
          <w:b w:val="0"/>
          <w:color w:val="auto"/>
          <w:sz w:val="22"/>
          <w:szCs w:val="22"/>
        </w:rPr>
        <w:t>R</w:t>
      </w:r>
      <w:r w:rsidR="0015106E">
        <w:rPr>
          <w:rFonts w:eastAsia="Arial"/>
          <w:b w:val="0"/>
          <w:color w:val="auto"/>
          <w:sz w:val="22"/>
          <w:szCs w:val="22"/>
        </w:rPr>
        <w:t>eference checks with current or previous landlord</w:t>
      </w:r>
    </w:p>
    <w:p w:rsidR="0015106E" w:rsidRDefault="0015106E" w:rsidP="0015106E">
      <w:pPr>
        <w:pStyle w:val="Subheading"/>
        <w:numPr>
          <w:ilvl w:val="0"/>
          <w:numId w:val="12"/>
        </w:numPr>
        <w:ind w:left="1276" w:hanging="425"/>
        <w:rPr>
          <w:rFonts w:eastAsia="Arial"/>
          <w:b w:val="0"/>
          <w:color w:val="auto"/>
          <w:sz w:val="22"/>
          <w:szCs w:val="22"/>
        </w:rPr>
      </w:pPr>
      <w:r>
        <w:rPr>
          <w:rFonts w:eastAsia="Arial"/>
          <w:b w:val="0"/>
          <w:color w:val="auto"/>
          <w:sz w:val="22"/>
          <w:szCs w:val="22"/>
        </w:rPr>
        <w:t>Criminal records background check</w:t>
      </w:r>
      <w:r w:rsidR="00961C65">
        <w:rPr>
          <w:rFonts w:eastAsia="Arial"/>
          <w:b w:val="0"/>
          <w:color w:val="auto"/>
          <w:sz w:val="22"/>
          <w:szCs w:val="22"/>
        </w:rPr>
        <w:t xml:space="preserve"> / national fraud initiative data sharing</w:t>
      </w:r>
    </w:p>
    <w:p w:rsidR="006C018D" w:rsidRDefault="0015106E" w:rsidP="00552D63">
      <w:pPr>
        <w:pStyle w:val="Subheading"/>
        <w:numPr>
          <w:ilvl w:val="0"/>
          <w:numId w:val="12"/>
        </w:numPr>
        <w:spacing w:after="0"/>
        <w:ind w:left="1276" w:hanging="425"/>
        <w:rPr>
          <w:rFonts w:eastAsia="Arial"/>
          <w:b w:val="0"/>
          <w:color w:val="auto"/>
          <w:sz w:val="22"/>
          <w:szCs w:val="22"/>
        </w:rPr>
      </w:pPr>
      <w:r>
        <w:rPr>
          <w:rFonts w:eastAsia="Arial"/>
          <w:b w:val="0"/>
          <w:color w:val="auto"/>
          <w:sz w:val="22"/>
          <w:szCs w:val="22"/>
        </w:rPr>
        <w:t>Credit check and / or Income assessment including benefit entitlement</w:t>
      </w:r>
    </w:p>
    <w:p w:rsidR="00552D63" w:rsidRPr="00552D63" w:rsidRDefault="00552D63" w:rsidP="00552D63">
      <w:pPr>
        <w:pStyle w:val="Subheading"/>
        <w:spacing w:after="0"/>
        <w:ind w:left="1276" w:firstLine="0"/>
        <w:rPr>
          <w:rFonts w:eastAsia="Arial"/>
          <w:b w:val="0"/>
          <w:color w:val="auto"/>
          <w:sz w:val="22"/>
          <w:szCs w:val="22"/>
        </w:rPr>
      </w:pPr>
    </w:p>
    <w:p w:rsidR="003B1CA1" w:rsidRPr="00DE1521" w:rsidRDefault="003B1CA1" w:rsidP="00552D63">
      <w:pPr>
        <w:pStyle w:val="Subheading"/>
        <w:numPr>
          <w:ilvl w:val="1"/>
          <w:numId w:val="20"/>
        </w:numPr>
        <w:spacing w:after="0"/>
        <w:ind w:left="567" w:hanging="567"/>
        <w:rPr>
          <w:rFonts w:eastAsia="Arial"/>
          <w:color w:val="auto"/>
          <w:sz w:val="22"/>
          <w:szCs w:val="22"/>
        </w:rPr>
      </w:pPr>
      <w:r w:rsidRPr="00DE1521">
        <w:rPr>
          <w:rFonts w:eastAsia="Arial"/>
          <w:color w:val="auto"/>
          <w:sz w:val="22"/>
          <w:szCs w:val="22"/>
        </w:rPr>
        <w:t>Open / Closed list</w:t>
      </w:r>
      <w:r w:rsidR="006447D2" w:rsidRPr="00DE1521">
        <w:rPr>
          <w:rFonts w:eastAsia="Arial"/>
          <w:color w:val="auto"/>
          <w:sz w:val="22"/>
          <w:szCs w:val="22"/>
        </w:rPr>
        <w:t xml:space="preserve"> / Direct applicants </w:t>
      </w:r>
    </w:p>
    <w:p w:rsidR="00F92272" w:rsidRDefault="006F55AA" w:rsidP="00A736A1">
      <w:pPr>
        <w:pStyle w:val="Subheading"/>
        <w:ind w:firstLine="0"/>
        <w:rPr>
          <w:rFonts w:eastAsia="Arial"/>
          <w:b w:val="0"/>
          <w:sz w:val="22"/>
          <w:szCs w:val="22"/>
        </w:rPr>
      </w:pPr>
      <w:r>
        <w:rPr>
          <w:rFonts w:eastAsia="Arial"/>
          <w:b w:val="0"/>
          <w:sz w:val="22"/>
          <w:szCs w:val="22"/>
        </w:rPr>
        <w:t xml:space="preserve">In order to carry out </w:t>
      </w:r>
      <w:r w:rsidRPr="00F92272">
        <w:rPr>
          <w:rFonts w:eastAsia="Arial"/>
          <w:b w:val="0"/>
          <w:sz w:val="22"/>
          <w:szCs w:val="22"/>
          <w:lang w:val="en-GB"/>
        </w:rPr>
        <w:t>programmes</w:t>
      </w:r>
      <w:r>
        <w:rPr>
          <w:rFonts w:eastAsia="Arial"/>
          <w:b w:val="0"/>
          <w:sz w:val="22"/>
          <w:szCs w:val="22"/>
        </w:rPr>
        <w:t xml:space="preserve"> of </w:t>
      </w:r>
      <w:r w:rsidRPr="00F92272">
        <w:rPr>
          <w:rFonts w:eastAsia="Arial"/>
          <w:b w:val="0"/>
          <w:sz w:val="22"/>
          <w:szCs w:val="22"/>
          <w:lang w:val="en-GB"/>
        </w:rPr>
        <w:t>localised</w:t>
      </w:r>
      <w:r>
        <w:rPr>
          <w:rFonts w:eastAsia="Arial"/>
          <w:b w:val="0"/>
          <w:sz w:val="22"/>
          <w:szCs w:val="22"/>
        </w:rPr>
        <w:t xml:space="preserve"> redevelopment, </w:t>
      </w:r>
      <w:r w:rsidR="00F92272">
        <w:rPr>
          <w:rFonts w:eastAsia="Arial"/>
          <w:b w:val="0"/>
          <w:sz w:val="22"/>
          <w:szCs w:val="22"/>
        </w:rPr>
        <w:t xml:space="preserve">PA Housing </w:t>
      </w:r>
      <w:r w:rsidR="00F95739">
        <w:rPr>
          <w:rFonts w:eastAsia="Arial"/>
          <w:b w:val="0"/>
          <w:sz w:val="22"/>
          <w:szCs w:val="22"/>
        </w:rPr>
        <w:t>may</w:t>
      </w:r>
      <w:r w:rsidR="00F92272">
        <w:rPr>
          <w:rFonts w:eastAsia="Arial"/>
          <w:b w:val="0"/>
          <w:sz w:val="22"/>
          <w:szCs w:val="22"/>
        </w:rPr>
        <w:t xml:space="preserve"> on occasion need to suspend the ‘normal’ priority for transfer applicants and a temporary reduction in the percentage of units offered to the local authority</w:t>
      </w:r>
      <w:r>
        <w:rPr>
          <w:rFonts w:eastAsia="Arial"/>
          <w:b w:val="0"/>
          <w:sz w:val="22"/>
          <w:szCs w:val="22"/>
        </w:rPr>
        <w:t xml:space="preserve">. </w:t>
      </w:r>
      <w:r w:rsidR="000325E3">
        <w:rPr>
          <w:rFonts w:eastAsia="Arial"/>
          <w:b w:val="0"/>
          <w:sz w:val="22"/>
          <w:szCs w:val="22"/>
        </w:rPr>
        <w:t xml:space="preserve">This will allow us to </w:t>
      </w:r>
      <w:r w:rsidR="00F92272">
        <w:rPr>
          <w:rFonts w:eastAsia="Arial"/>
          <w:b w:val="0"/>
          <w:sz w:val="22"/>
          <w:szCs w:val="22"/>
        </w:rPr>
        <w:t>accommodate affected residents swiftly and considerately.</w:t>
      </w:r>
    </w:p>
    <w:p w:rsidR="00DE1521" w:rsidRDefault="00DE1521" w:rsidP="00A736A1">
      <w:pPr>
        <w:pStyle w:val="Subheading"/>
        <w:ind w:firstLine="0"/>
        <w:rPr>
          <w:rFonts w:eastAsia="Arial"/>
          <w:b w:val="0"/>
          <w:sz w:val="22"/>
          <w:szCs w:val="22"/>
        </w:rPr>
      </w:pPr>
      <w:r>
        <w:rPr>
          <w:rFonts w:eastAsia="Arial"/>
          <w:b w:val="0"/>
          <w:sz w:val="22"/>
          <w:szCs w:val="22"/>
        </w:rPr>
        <w:t>If PA Housing finds that the number of applicants on any sub-regional housing register is grossly disproportionate to the number of properties becoming available in any given year, we may close the register to new applicants for a determined period of time. We may also review our banding scheme and eligibility criteria so that only those in the greatest need might access the register.</w:t>
      </w:r>
    </w:p>
    <w:p w:rsidR="00F52402" w:rsidRDefault="006F55AA" w:rsidP="00552D63">
      <w:pPr>
        <w:pStyle w:val="Subheading"/>
        <w:spacing w:after="0"/>
        <w:ind w:firstLine="0"/>
        <w:rPr>
          <w:rFonts w:eastAsia="Arial"/>
          <w:b w:val="0"/>
          <w:sz w:val="22"/>
          <w:szCs w:val="22"/>
        </w:rPr>
      </w:pPr>
      <w:r>
        <w:rPr>
          <w:rFonts w:eastAsia="Arial"/>
          <w:b w:val="0"/>
          <w:sz w:val="22"/>
          <w:szCs w:val="22"/>
        </w:rPr>
        <w:t>Currently d</w:t>
      </w:r>
      <w:r w:rsidR="00F52402">
        <w:rPr>
          <w:rFonts w:eastAsia="Arial"/>
          <w:b w:val="0"/>
          <w:sz w:val="22"/>
          <w:szCs w:val="22"/>
        </w:rPr>
        <w:t>irect applicants</w:t>
      </w:r>
      <w:r>
        <w:rPr>
          <w:rFonts w:eastAsia="Arial"/>
          <w:b w:val="0"/>
          <w:sz w:val="22"/>
          <w:szCs w:val="22"/>
        </w:rPr>
        <w:t xml:space="preserve"> for general needs</w:t>
      </w:r>
      <w:r w:rsidR="00F52402">
        <w:rPr>
          <w:rFonts w:eastAsia="Arial"/>
          <w:b w:val="0"/>
          <w:sz w:val="22"/>
          <w:szCs w:val="22"/>
        </w:rPr>
        <w:t xml:space="preserve"> </w:t>
      </w:r>
      <w:r>
        <w:rPr>
          <w:rFonts w:eastAsia="Arial"/>
          <w:b w:val="0"/>
          <w:sz w:val="22"/>
          <w:szCs w:val="22"/>
        </w:rPr>
        <w:t xml:space="preserve">housing </w:t>
      </w:r>
      <w:r w:rsidR="00F52402">
        <w:rPr>
          <w:rFonts w:eastAsia="Arial"/>
          <w:b w:val="0"/>
          <w:sz w:val="22"/>
          <w:szCs w:val="22"/>
        </w:rPr>
        <w:t xml:space="preserve">may </w:t>
      </w:r>
      <w:r>
        <w:rPr>
          <w:rFonts w:eastAsia="Arial"/>
          <w:b w:val="0"/>
          <w:sz w:val="22"/>
          <w:szCs w:val="22"/>
        </w:rPr>
        <w:t xml:space="preserve">only </w:t>
      </w:r>
      <w:r w:rsidR="00F52402">
        <w:rPr>
          <w:rFonts w:eastAsia="Arial"/>
          <w:b w:val="0"/>
          <w:sz w:val="22"/>
          <w:szCs w:val="22"/>
        </w:rPr>
        <w:t xml:space="preserve">apply </w:t>
      </w:r>
      <w:r>
        <w:rPr>
          <w:rFonts w:eastAsia="Arial"/>
          <w:b w:val="0"/>
          <w:sz w:val="22"/>
          <w:szCs w:val="22"/>
        </w:rPr>
        <w:t>in the Midlands sub-region</w:t>
      </w:r>
      <w:r w:rsidR="00F52402">
        <w:rPr>
          <w:rFonts w:eastAsia="Arial"/>
          <w:b w:val="0"/>
          <w:sz w:val="22"/>
          <w:szCs w:val="22"/>
        </w:rPr>
        <w:t xml:space="preserve">. In </w:t>
      </w:r>
      <w:r>
        <w:rPr>
          <w:rFonts w:eastAsia="Arial"/>
          <w:b w:val="0"/>
          <w:sz w:val="22"/>
          <w:szCs w:val="22"/>
        </w:rPr>
        <w:t xml:space="preserve">London and the Midlands they may apply directly for Independent Living for older people. In </w:t>
      </w:r>
      <w:r w:rsidR="00F52402">
        <w:rPr>
          <w:rFonts w:eastAsia="Arial"/>
          <w:b w:val="0"/>
          <w:sz w:val="22"/>
          <w:szCs w:val="22"/>
        </w:rPr>
        <w:t xml:space="preserve">the South East sub-region </w:t>
      </w:r>
      <w:r>
        <w:rPr>
          <w:rFonts w:eastAsia="Arial"/>
          <w:b w:val="0"/>
          <w:sz w:val="22"/>
          <w:szCs w:val="22"/>
        </w:rPr>
        <w:t xml:space="preserve">they may only apply for Independent Living schemes in Richmond borough. Otherwise </w:t>
      </w:r>
      <w:r w:rsidR="00F52402">
        <w:rPr>
          <w:rFonts w:eastAsia="Arial"/>
          <w:b w:val="0"/>
          <w:sz w:val="22"/>
          <w:szCs w:val="22"/>
        </w:rPr>
        <w:t>only existing PA Housing residents or key workers may join the scheme.</w:t>
      </w:r>
    </w:p>
    <w:p w:rsidR="006C018D" w:rsidRPr="000325E3" w:rsidRDefault="006C018D" w:rsidP="00552D63">
      <w:pPr>
        <w:pStyle w:val="Subheading"/>
        <w:spacing w:after="0"/>
        <w:ind w:left="993" w:firstLine="0"/>
        <w:rPr>
          <w:rFonts w:eastAsia="Arial"/>
          <w:b w:val="0"/>
          <w:sz w:val="22"/>
          <w:szCs w:val="22"/>
        </w:rPr>
      </w:pPr>
    </w:p>
    <w:p w:rsidR="003B1CA1" w:rsidRPr="000D5DA1" w:rsidRDefault="003B1CA1" w:rsidP="00552D63">
      <w:pPr>
        <w:pStyle w:val="Subheading"/>
        <w:numPr>
          <w:ilvl w:val="1"/>
          <w:numId w:val="20"/>
        </w:numPr>
        <w:ind w:left="567" w:hanging="567"/>
        <w:rPr>
          <w:sz w:val="22"/>
        </w:rPr>
      </w:pPr>
      <w:r w:rsidRPr="000D5DA1">
        <w:rPr>
          <w:color w:val="auto"/>
          <w:sz w:val="22"/>
        </w:rPr>
        <w:t xml:space="preserve">Assessment of applications </w:t>
      </w:r>
    </w:p>
    <w:p w:rsidR="001263AB" w:rsidRDefault="001263AB" w:rsidP="00A736A1">
      <w:pPr>
        <w:pStyle w:val="Subheading"/>
        <w:ind w:firstLine="0"/>
        <w:rPr>
          <w:b w:val="0"/>
          <w:sz w:val="22"/>
        </w:rPr>
      </w:pPr>
      <w:r>
        <w:rPr>
          <w:b w:val="0"/>
          <w:sz w:val="22"/>
        </w:rPr>
        <w:t>Applicants will be assessed according to a banding scheme to determine their relative priority. There are 4 bands:</w:t>
      </w:r>
    </w:p>
    <w:p w:rsidR="001263AB" w:rsidRDefault="001263AB" w:rsidP="00F52402">
      <w:pPr>
        <w:pStyle w:val="Subheading"/>
        <w:numPr>
          <w:ilvl w:val="0"/>
          <w:numId w:val="19"/>
        </w:numPr>
        <w:spacing w:after="0"/>
        <w:ind w:left="2268"/>
        <w:jc w:val="both"/>
        <w:rPr>
          <w:b w:val="0"/>
          <w:sz w:val="22"/>
        </w:rPr>
      </w:pPr>
      <w:r>
        <w:rPr>
          <w:b w:val="0"/>
          <w:sz w:val="22"/>
        </w:rPr>
        <w:t>Emergency housing Need – (Band A / Category 1)</w:t>
      </w:r>
    </w:p>
    <w:p w:rsidR="001263AB" w:rsidRDefault="001263AB" w:rsidP="00F52402">
      <w:pPr>
        <w:pStyle w:val="Subheading"/>
        <w:numPr>
          <w:ilvl w:val="0"/>
          <w:numId w:val="19"/>
        </w:numPr>
        <w:spacing w:after="0"/>
        <w:ind w:left="2268"/>
        <w:jc w:val="both"/>
        <w:rPr>
          <w:b w:val="0"/>
          <w:sz w:val="22"/>
        </w:rPr>
      </w:pPr>
      <w:r>
        <w:rPr>
          <w:b w:val="0"/>
          <w:sz w:val="22"/>
        </w:rPr>
        <w:t>Urgent housing Need – (Band B / Category 2)</w:t>
      </w:r>
    </w:p>
    <w:p w:rsidR="001263AB" w:rsidRDefault="001263AB" w:rsidP="00F52402">
      <w:pPr>
        <w:pStyle w:val="Subheading"/>
        <w:numPr>
          <w:ilvl w:val="0"/>
          <w:numId w:val="19"/>
        </w:numPr>
        <w:spacing w:after="0"/>
        <w:ind w:left="2268"/>
        <w:jc w:val="both"/>
        <w:rPr>
          <w:b w:val="0"/>
          <w:sz w:val="22"/>
        </w:rPr>
      </w:pPr>
      <w:r>
        <w:rPr>
          <w:b w:val="0"/>
          <w:sz w:val="22"/>
        </w:rPr>
        <w:t>Identified housing Need – (Band C / Category 3)</w:t>
      </w:r>
    </w:p>
    <w:p w:rsidR="001263AB" w:rsidRDefault="001263AB" w:rsidP="00F52402">
      <w:pPr>
        <w:pStyle w:val="Subheading"/>
        <w:numPr>
          <w:ilvl w:val="0"/>
          <w:numId w:val="19"/>
        </w:numPr>
        <w:spacing w:after="0"/>
        <w:ind w:left="2268"/>
        <w:jc w:val="both"/>
        <w:rPr>
          <w:b w:val="0"/>
          <w:sz w:val="22"/>
        </w:rPr>
      </w:pPr>
      <w:r>
        <w:rPr>
          <w:b w:val="0"/>
          <w:sz w:val="22"/>
        </w:rPr>
        <w:t>Keyworker or Choice Plus applicants – (Band D / Category 4)</w:t>
      </w:r>
    </w:p>
    <w:p w:rsidR="000325E3" w:rsidRDefault="000325E3" w:rsidP="000325E3">
      <w:pPr>
        <w:pStyle w:val="Subheading"/>
        <w:spacing w:after="0"/>
        <w:ind w:left="2268" w:firstLine="0"/>
        <w:jc w:val="both"/>
        <w:rPr>
          <w:b w:val="0"/>
          <w:sz w:val="22"/>
        </w:rPr>
      </w:pPr>
    </w:p>
    <w:p w:rsidR="001263AB" w:rsidRDefault="001263AB" w:rsidP="00A736A1">
      <w:pPr>
        <w:pStyle w:val="Subheading"/>
        <w:ind w:firstLine="0"/>
        <w:rPr>
          <w:b w:val="0"/>
          <w:sz w:val="22"/>
        </w:rPr>
      </w:pPr>
      <w:r>
        <w:rPr>
          <w:b w:val="0"/>
          <w:sz w:val="22"/>
        </w:rPr>
        <w:t>The following housing needs are considered when determining an applicant’s priority:</w:t>
      </w:r>
    </w:p>
    <w:p w:rsidR="001263AB" w:rsidRDefault="001263AB" w:rsidP="00B42784">
      <w:pPr>
        <w:pStyle w:val="Subheading"/>
        <w:numPr>
          <w:ilvl w:val="0"/>
          <w:numId w:val="13"/>
        </w:numPr>
        <w:ind w:left="993" w:hanging="425"/>
        <w:rPr>
          <w:b w:val="0"/>
          <w:sz w:val="22"/>
        </w:rPr>
      </w:pPr>
      <w:r>
        <w:rPr>
          <w:b w:val="0"/>
          <w:sz w:val="22"/>
        </w:rPr>
        <w:t>Medical needs (including mental health needs)</w:t>
      </w:r>
    </w:p>
    <w:p w:rsidR="001263AB" w:rsidRDefault="001263AB" w:rsidP="00B42784">
      <w:pPr>
        <w:pStyle w:val="Subheading"/>
        <w:numPr>
          <w:ilvl w:val="0"/>
          <w:numId w:val="13"/>
        </w:numPr>
        <w:ind w:left="993" w:hanging="425"/>
        <w:rPr>
          <w:b w:val="0"/>
          <w:sz w:val="22"/>
        </w:rPr>
      </w:pPr>
      <w:r>
        <w:rPr>
          <w:b w:val="0"/>
          <w:sz w:val="22"/>
        </w:rPr>
        <w:t>Current housing status</w:t>
      </w:r>
      <w:r w:rsidR="000F2EEE">
        <w:rPr>
          <w:b w:val="0"/>
          <w:sz w:val="22"/>
        </w:rPr>
        <w:t xml:space="preserve">, </w:t>
      </w:r>
    </w:p>
    <w:p w:rsidR="001263AB" w:rsidRDefault="001263AB" w:rsidP="00B42784">
      <w:pPr>
        <w:pStyle w:val="Subheading"/>
        <w:numPr>
          <w:ilvl w:val="0"/>
          <w:numId w:val="13"/>
        </w:numPr>
        <w:ind w:left="993" w:hanging="425"/>
        <w:rPr>
          <w:b w:val="0"/>
          <w:sz w:val="22"/>
        </w:rPr>
      </w:pPr>
      <w:r>
        <w:rPr>
          <w:b w:val="0"/>
          <w:sz w:val="22"/>
        </w:rPr>
        <w:t>Social circumstances and welfare needs</w:t>
      </w:r>
    </w:p>
    <w:p w:rsidR="001263AB" w:rsidRDefault="001263AB" w:rsidP="00B42784">
      <w:pPr>
        <w:pStyle w:val="Subheading"/>
        <w:numPr>
          <w:ilvl w:val="0"/>
          <w:numId w:val="13"/>
        </w:numPr>
        <w:ind w:left="993" w:hanging="425"/>
        <w:rPr>
          <w:b w:val="0"/>
          <w:sz w:val="22"/>
        </w:rPr>
      </w:pPr>
      <w:r>
        <w:rPr>
          <w:b w:val="0"/>
          <w:sz w:val="22"/>
        </w:rPr>
        <w:lastRenderedPageBreak/>
        <w:t>Financial sustainability</w:t>
      </w:r>
    </w:p>
    <w:p w:rsidR="001263AB" w:rsidRDefault="001263AB" w:rsidP="00B42784">
      <w:pPr>
        <w:pStyle w:val="Subheading"/>
        <w:numPr>
          <w:ilvl w:val="0"/>
          <w:numId w:val="13"/>
        </w:numPr>
        <w:ind w:left="993" w:hanging="425"/>
        <w:rPr>
          <w:b w:val="0"/>
          <w:sz w:val="22"/>
        </w:rPr>
      </w:pPr>
      <w:r>
        <w:rPr>
          <w:b w:val="0"/>
          <w:sz w:val="22"/>
        </w:rPr>
        <w:t>Support needs</w:t>
      </w:r>
    </w:p>
    <w:p w:rsidR="001263AB" w:rsidRDefault="001263AB" w:rsidP="00B42784">
      <w:pPr>
        <w:pStyle w:val="Subheading"/>
        <w:numPr>
          <w:ilvl w:val="0"/>
          <w:numId w:val="13"/>
        </w:numPr>
        <w:ind w:left="993" w:hanging="425"/>
        <w:rPr>
          <w:b w:val="0"/>
          <w:sz w:val="22"/>
        </w:rPr>
      </w:pPr>
      <w:r>
        <w:rPr>
          <w:b w:val="0"/>
          <w:sz w:val="22"/>
        </w:rPr>
        <w:t>Level of under-occupation / overcrowding in the current home</w:t>
      </w:r>
    </w:p>
    <w:p w:rsidR="001263AB" w:rsidRDefault="003D781A" w:rsidP="00552D63">
      <w:pPr>
        <w:pStyle w:val="Subheading"/>
        <w:spacing w:after="0"/>
        <w:ind w:firstLine="0"/>
        <w:rPr>
          <w:b w:val="0"/>
          <w:sz w:val="22"/>
        </w:rPr>
      </w:pPr>
      <w:r>
        <w:rPr>
          <w:b w:val="0"/>
          <w:sz w:val="22"/>
        </w:rPr>
        <w:t>Please see Appendix 2 for further information on the banding scheme.</w:t>
      </w:r>
    </w:p>
    <w:p w:rsidR="003D781A" w:rsidRDefault="003D781A" w:rsidP="00552D63">
      <w:pPr>
        <w:pStyle w:val="Subheading"/>
        <w:spacing w:after="0"/>
        <w:ind w:left="993" w:firstLine="0"/>
        <w:rPr>
          <w:b w:val="0"/>
          <w:sz w:val="22"/>
        </w:rPr>
      </w:pPr>
    </w:p>
    <w:p w:rsidR="00554120" w:rsidRPr="000C5CAF" w:rsidRDefault="003B1CA1" w:rsidP="00552D63">
      <w:pPr>
        <w:pStyle w:val="Subheading"/>
        <w:numPr>
          <w:ilvl w:val="1"/>
          <w:numId w:val="20"/>
        </w:numPr>
        <w:ind w:left="567" w:hanging="567"/>
        <w:rPr>
          <w:sz w:val="22"/>
        </w:rPr>
      </w:pPr>
      <w:r w:rsidRPr="000C5CAF">
        <w:rPr>
          <w:sz w:val="22"/>
        </w:rPr>
        <w:t>Bedroom need matrix (with variation)</w:t>
      </w:r>
      <w:r w:rsidR="00B44B6B" w:rsidRPr="000C5CAF">
        <w:rPr>
          <w:sz w:val="22"/>
        </w:rPr>
        <w:t xml:space="preserve"> </w:t>
      </w:r>
    </w:p>
    <w:p w:rsidR="00F85B2C" w:rsidRDefault="00B44B6B" w:rsidP="0010667E">
      <w:pPr>
        <w:pStyle w:val="Subheading"/>
        <w:ind w:firstLine="0"/>
        <w:rPr>
          <w:b w:val="0"/>
          <w:sz w:val="22"/>
        </w:rPr>
      </w:pPr>
      <w:r>
        <w:rPr>
          <w:b w:val="0"/>
          <w:sz w:val="22"/>
        </w:rPr>
        <w:t xml:space="preserve">PA Housing has adopted the Department for Work and Pensions (DWP) guidelines for bedroom entitlement and Housing Benefit / Housing element of Universal Credit eligibility. </w:t>
      </w:r>
      <w:r w:rsidR="00C0332A">
        <w:rPr>
          <w:b w:val="0"/>
          <w:sz w:val="22"/>
        </w:rPr>
        <w:t xml:space="preserve">Local demand means that in the Midlands sub-region </w:t>
      </w:r>
      <w:r w:rsidR="00554120">
        <w:rPr>
          <w:b w:val="0"/>
          <w:sz w:val="22"/>
        </w:rPr>
        <w:t>there may be cases where a different specification can be awarded as per the table below:</w:t>
      </w:r>
      <w:r w:rsidR="0010667E">
        <w:rPr>
          <w:b w:val="0"/>
          <w:sz w:val="22"/>
        </w:rPr>
        <w:t>-</w:t>
      </w:r>
    </w:p>
    <w:tbl>
      <w:tblPr>
        <w:tblStyle w:val="TableGrid"/>
        <w:tblW w:w="0" w:type="auto"/>
        <w:tblInd w:w="392" w:type="dxa"/>
        <w:tblLook w:val="04A0" w:firstRow="1" w:lastRow="0" w:firstColumn="1" w:lastColumn="0" w:noHBand="0" w:noVBand="1"/>
      </w:tblPr>
      <w:tblGrid>
        <w:gridCol w:w="1383"/>
        <w:gridCol w:w="1560"/>
        <w:gridCol w:w="2551"/>
        <w:gridCol w:w="3153"/>
      </w:tblGrid>
      <w:tr w:rsidR="00554120" w:rsidTr="003F7D98">
        <w:tc>
          <w:tcPr>
            <w:tcW w:w="1383" w:type="dxa"/>
          </w:tcPr>
          <w:p w:rsidR="00554120" w:rsidRDefault="00554120" w:rsidP="00554120">
            <w:pPr>
              <w:pStyle w:val="Subheading"/>
              <w:ind w:left="0" w:firstLine="0"/>
              <w:rPr>
                <w:b w:val="0"/>
                <w:sz w:val="22"/>
              </w:rPr>
            </w:pPr>
            <w:r>
              <w:rPr>
                <w:b w:val="0"/>
                <w:sz w:val="22"/>
              </w:rPr>
              <w:t>Number of bedrooms</w:t>
            </w:r>
          </w:p>
        </w:tc>
        <w:tc>
          <w:tcPr>
            <w:tcW w:w="1560" w:type="dxa"/>
          </w:tcPr>
          <w:p w:rsidR="00554120" w:rsidRDefault="00554120" w:rsidP="00554120">
            <w:pPr>
              <w:pStyle w:val="Subheading"/>
              <w:ind w:left="0" w:firstLine="0"/>
              <w:rPr>
                <w:b w:val="0"/>
                <w:sz w:val="22"/>
              </w:rPr>
            </w:pPr>
            <w:r>
              <w:rPr>
                <w:b w:val="0"/>
                <w:sz w:val="22"/>
              </w:rPr>
              <w:t>Overall no. of occupants</w:t>
            </w:r>
          </w:p>
        </w:tc>
        <w:tc>
          <w:tcPr>
            <w:tcW w:w="2551" w:type="dxa"/>
          </w:tcPr>
          <w:p w:rsidR="00554120" w:rsidRDefault="00554120" w:rsidP="002A3008">
            <w:pPr>
              <w:pStyle w:val="Subheading"/>
              <w:ind w:left="0" w:firstLine="0"/>
              <w:rPr>
                <w:b w:val="0"/>
                <w:sz w:val="22"/>
              </w:rPr>
            </w:pPr>
            <w:r>
              <w:rPr>
                <w:b w:val="0"/>
                <w:sz w:val="22"/>
              </w:rPr>
              <w:t>Midlands sub-region max</w:t>
            </w:r>
            <w:r w:rsidR="002A3008">
              <w:rPr>
                <w:b w:val="0"/>
                <w:sz w:val="22"/>
              </w:rPr>
              <w:t>imum</w:t>
            </w:r>
            <w:r>
              <w:rPr>
                <w:b w:val="0"/>
                <w:sz w:val="22"/>
              </w:rPr>
              <w:t xml:space="preserve"> occ</w:t>
            </w:r>
            <w:r w:rsidR="002A3008">
              <w:rPr>
                <w:b w:val="0"/>
                <w:sz w:val="22"/>
              </w:rPr>
              <w:t>upancy</w:t>
            </w:r>
          </w:p>
        </w:tc>
        <w:tc>
          <w:tcPr>
            <w:tcW w:w="3153" w:type="dxa"/>
          </w:tcPr>
          <w:p w:rsidR="00554120" w:rsidRDefault="00554120" w:rsidP="00554120">
            <w:pPr>
              <w:pStyle w:val="Subheading"/>
              <w:ind w:left="0" w:firstLine="0"/>
              <w:rPr>
                <w:b w:val="0"/>
                <w:sz w:val="22"/>
              </w:rPr>
            </w:pPr>
            <w:r>
              <w:rPr>
                <w:b w:val="0"/>
                <w:sz w:val="22"/>
              </w:rPr>
              <w:t>London and South East sub-region max occ.</w:t>
            </w:r>
          </w:p>
        </w:tc>
      </w:tr>
      <w:tr w:rsidR="00554120" w:rsidTr="003F7D98">
        <w:tc>
          <w:tcPr>
            <w:tcW w:w="1383" w:type="dxa"/>
          </w:tcPr>
          <w:p w:rsidR="00554120" w:rsidRDefault="00554120" w:rsidP="00554120">
            <w:pPr>
              <w:pStyle w:val="Subheading"/>
              <w:ind w:left="0" w:firstLine="0"/>
              <w:rPr>
                <w:b w:val="0"/>
                <w:sz w:val="22"/>
              </w:rPr>
            </w:pPr>
            <w:r>
              <w:rPr>
                <w:b w:val="0"/>
                <w:sz w:val="22"/>
              </w:rPr>
              <w:t>0</w:t>
            </w:r>
          </w:p>
        </w:tc>
        <w:tc>
          <w:tcPr>
            <w:tcW w:w="1560" w:type="dxa"/>
          </w:tcPr>
          <w:p w:rsidR="00554120" w:rsidRDefault="00554120" w:rsidP="00554120">
            <w:pPr>
              <w:pStyle w:val="Subheading"/>
              <w:ind w:left="0" w:firstLine="0"/>
              <w:rPr>
                <w:b w:val="0"/>
                <w:sz w:val="22"/>
              </w:rPr>
            </w:pPr>
            <w:r>
              <w:rPr>
                <w:b w:val="0"/>
                <w:sz w:val="22"/>
              </w:rPr>
              <w:t>1</w:t>
            </w:r>
          </w:p>
        </w:tc>
        <w:tc>
          <w:tcPr>
            <w:tcW w:w="2551" w:type="dxa"/>
          </w:tcPr>
          <w:p w:rsidR="00554120" w:rsidRDefault="00554120" w:rsidP="00554120">
            <w:pPr>
              <w:pStyle w:val="Subheading"/>
              <w:ind w:left="0" w:firstLine="0"/>
              <w:rPr>
                <w:b w:val="0"/>
                <w:sz w:val="22"/>
              </w:rPr>
            </w:pPr>
            <w:r>
              <w:rPr>
                <w:b w:val="0"/>
                <w:sz w:val="22"/>
              </w:rPr>
              <w:t>Single Adult</w:t>
            </w:r>
          </w:p>
        </w:tc>
        <w:tc>
          <w:tcPr>
            <w:tcW w:w="3153" w:type="dxa"/>
          </w:tcPr>
          <w:p w:rsidR="00554120" w:rsidRDefault="00554120" w:rsidP="00554120">
            <w:pPr>
              <w:pStyle w:val="Subheading"/>
              <w:ind w:left="0" w:firstLine="0"/>
              <w:rPr>
                <w:b w:val="0"/>
                <w:sz w:val="22"/>
              </w:rPr>
            </w:pPr>
            <w:r>
              <w:rPr>
                <w:b w:val="0"/>
                <w:sz w:val="22"/>
              </w:rPr>
              <w:t>Single Adult</w:t>
            </w:r>
          </w:p>
        </w:tc>
      </w:tr>
      <w:tr w:rsidR="00554120" w:rsidTr="003F7D98">
        <w:tc>
          <w:tcPr>
            <w:tcW w:w="1383" w:type="dxa"/>
          </w:tcPr>
          <w:p w:rsidR="00554120" w:rsidRDefault="00554120" w:rsidP="00554120">
            <w:pPr>
              <w:pStyle w:val="Subheading"/>
              <w:ind w:left="0" w:firstLine="0"/>
              <w:rPr>
                <w:b w:val="0"/>
                <w:sz w:val="22"/>
              </w:rPr>
            </w:pPr>
            <w:r>
              <w:rPr>
                <w:b w:val="0"/>
                <w:sz w:val="22"/>
              </w:rPr>
              <w:t>1</w:t>
            </w:r>
          </w:p>
        </w:tc>
        <w:tc>
          <w:tcPr>
            <w:tcW w:w="1560" w:type="dxa"/>
          </w:tcPr>
          <w:p w:rsidR="00554120" w:rsidRDefault="00554120" w:rsidP="00554120">
            <w:pPr>
              <w:pStyle w:val="Subheading"/>
              <w:ind w:left="0" w:firstLine="0"/>
              <w:rPr>
                <w:b w:val="0"/>
                <w:sz w:val="22"/>
              </w:rPr>
            </w:pPr>
            <w:r>
              <w:rPr>
                <w:b w:val="0"/>
                <w:sz w:val="22"/>
              </w:rPr>
              <w:t>1-2</w:t>
            </w:r>
          </w:p>
        </w:tc>
        <w:tc>
          <w:tcPr>
            <w:tcW w:w="2551" w:type="dxa"/>
          </w:tcPr>
          <w:p w:rsidR="00554120" w:rsidRDefault="00554120" w:rsidP="00554120">
            <w:pPr>
              <w:pStyle w:val="Subheading"/>
              <w:ind w:left="0" w:firstLine="0"/>
              <w:rPr>
                <w:b w:val="0"/>
                <w:sz w:val="22"/>
              </w:rPr>
            </w:pPr>
            <w:r>
              <w:rPr>
                <w:b w:val="0"/>
                <w:sz w:val="22"/>
              </w:rPr>
              <w:t>Single / Couple</w:t>
            </w:r>
            <w:r w:rsidR="0010667E">
              <w:rPr>
                <w:b w:val="0"/>
                <w:sz w:val="22"/>
              </w:rPr>
              <w:t>*</w:t>
            </w:r>
          </w:p>
        </w:tc>
        <w:tc>
          <w:tcPr>
            <w:tcW w:w="3153" w:type="dxa"/>
          </w:tcPr>
          <w:p w:rsidR="00554120" w:rsidRDefault="00554120" w:rsidP="00554120">
            <w:pPr>
              <w:pStyle w:val="Subheading"/>
              <w:ind w:left="0" w:firstLine="0"/>
              <w:rPr>
                <w:b w:val="0"/>
                <w:sz w:val="22"/>
              </w:rPr>
            </w:pPr>
            <w:r>
              <w:rPr>
                <w:b w:val="0"/>
                <w:sz w:val="22"/>
              </w:rPr>
              <w:t>Single / Couple</w:t>
            </w:r>
            <w:r w:rsidR="0010667E">
              <w:rPr>
                <w:b w:val="0"/>
                <w:sz w:val="22"/>
              </w:rPr>
              <w:t>*</w:t>
            </w:r>
          </w:p>
        </w:tc>
      </w:tr>
      <w:tr w:rsidR="00554120" w:rsidTr="003F7D98">
        <w:tc>
          <w:tcPr>
            <w:tcW w:w="1383" w:type="dxa"/>
          </w:tcPr>
          <w:p w:rsidR="00554120" w:rsidRDefault="00554120" w:rsidP="00554120">
            <w:pPr>
              <w:pStyle w:val="Subheading"/>
              <w:ind w:left="0" w:firstLine="0"/>
              <w:rPr>
                <w:b w:val="0"/>
                <w:sz w:val="22"/>
              </w:rPr>
            </w:pPr>
            <w:r>
              <w:rPr>
                <w:b w:val="0"/>
                <w:sz w:val="22"/>
              </w:rPr>
              <w:t>2</w:t>
            </w:r>
          </w:p>
        </w:tc>
        <w:tc>
          <w:tcPr>
            <w:tcW w:w="1560" w:type="dxa"/>
          </w:tcPr>
          <w:p w:rsidR="00554120" w:rsidRDefault="00554120" w:rsidP="00554120">
            <w:pPr>
              <w:pStyle w:val="Subheading"/>
              <w:ind w:left="0" w:firstLine="0"/>
              <w:rPr>
                <w:b w:val="0"/>
                <w:sz w:val="22"/>
              </w:rPr>
            </w:pPr>
            <w:r>
              <w:rPr>
                <w:b w:val="0"/>
                <w:sz w:val="22"/>
              </w:rPr>
              <w:t>2-4</w:t>
            </w:r>
          </w:p>
        </w:tc>
        <w:tc>
          <w:tcPr>
            <w:tcW w:w="2551" w:type="dxa"/>
          </w:tcPr>
          <w:p w:rsidR="00554120" w:rsidRDefault="0010667E" w:rsidP="00554120">
            <w:pPr>
              <w:pStyle w:val="Subheading"/>
              <w:ind w:left="0" w:firstLine="0"/>
              <w:rPr>
                <w:b w:val="0"/>
                <w:sz w:val="22"/>
              </w:rPr>
            </w:pPr>
            <w:r>
              <w:rPr>
                <w:b w:val="0"/>
                <w:sz w:val="22"/>
              </w:rPr>
              <w:t xml:space="preserve">Single / </w:t>
            </w:r>
            <w:r w:rsidR="00554120">
              <w:rPr>
                <w:b w:val="0"/>
                <w:sz w:val="22"/>
              </w:rPr>
              <w:t xml:space="preserve">Couple plus 2 children </w:t>
            </w:r>
            <w:r w:rsidR="002A3008">
              <w:rPr>
                <w:b w:val="0"/>
                <w:sz w:val="22"/>
              </w:rPr>
              <w:t xml:space="preserve">of </w:t>
            </w:r>
            <w:r w:rsidR="00554120">
              <w:rPr>
                <w:b w:val="0"/>
                <w:sz w:val="22"/>
              </w:rPr>
              <w:t>same sex up to age of 16, OR</w:t>
            </w:r>
          </w:p>
          <w:p w:rsidR="00554120" w:rsidRDefault="00554120" w:rsidP="00554120">
            <w:pPr>
              <w:pStyle w:val="Subheading"/>
              <w:ind w:left="0" w:firstLine="0"/>
              <w:rPr>
                <w:b w:val="0"/>
                <w:sz w:val="22"/>
              </w:rPr>
            </w:pPr>
            <w:r>
              <w:rPr>
                <w:b w:val="0"/>
                <w:sz w:val="22"/>
              </w:rPr>
              <w:t>2 children of different sex up to age of 10</w:t>
            </w:r>
            <w:r w:rsidR="00B651BA">
              <w:rPr>
                <w:b w:val="0"/>
                <w:sz w:val="22"/>
              </w:rPr>
              <w:t xml:space="preserve"> OR</w:t>
            </w:r>
          </w:p>
          <w:p w:rsidR="00B651BA" w:rsidRDefault="0010667E" w:rsidP="00554120">
            <w:pPr>
              <w:pStyle w:val="Subheading"/>
              <w:ind w:left="0" w:firstLine="0"/>
              <w:rPr>
                <w:b w:val="0"/>
                <w:sz w:val="22"/>
              </w:rPr>
            </w:pPr>
            <w:r>
              <w:rPr>
                <w:b w:val="0"/>
                <w:sz w:val="22"/>
              </w:rPr>
              <w:t xml:space="preserve">A non-residential </w:t>
            </w:r>
            <w:proofErr w:type="spellStart"/>
            <w:r w:rsidR="00B651BA">
              <w:rPr>
                <w:b w:val="0"/>
                <w:sz w:val="22"/>
              </w:rPr>
              <w:t>carer</w:t>
            </w:r>
            <w:proofErr w:type="spellEnd"/>
            <w:r w:rsidR="00B651BA">
              <w:rPr>
                <w:b w:val="0"/>
                <w:sz w:val="22"/>
              </w:rPr>
              <w:t xml:space="preserve">, providing overnight care for a resident adult </w:t>
            </w:r>
          </w:p>
          <w:p w:rsidR="000F72BE" w:rsidRDefault="000F72BE" w:rsidP="00554120">
            <w:pPr>
              <w:pStyle w:val="Subheading"/>
              <w:ind w:left="0" w:firstLine="0"/>
              <w:rPr>
                <w:b w:val="0"/>
                <w:sz w:val="22"/>
              </w:rPr>
            </w:pPr>
            <w:r>
              <w:rPr>
                <w:b w:val="0"/>
                <w:sz w:val="22"/>
              </w:rPr>
              <w:t>Couple with agreed medical need for separate bedrooms</w:t>
            </w:r>
          </w:p>
        </w:tc>
        <w:tc>
          <w:tcPr>
            <w:tcW w:w="3153" w:type="dxa"/>
          </w:tcPr>
          <w:p w:rsidR="00554120" w:rsidRDefault="0010667E" w:rsidP="00554120">
            <w:pPr>
              <w:pStyle w:val="Subheading"/>
              <w:ind w:left="0" w:firstLine="0"/>
              <w:rPr>
                <w:b w:val="0"/>
                <w:sz w:val="22"/>
              </w:rPr>
            </w:pPr>
            <w:r>
              <w:rPr>
                <w:b w:val="0"/>
                <w:sz w:val="22"/>
              </w:rPr>
              <w:t xml:space="preserve">Single / </w:t>
            </w:r>
            <w:r w:rsidR="00554120">
              <w:rPr>
                <w:b w:val="0"/>
                <w:sz w:val="22"/>
              </w:rPr>
              <w:t xml:space="preserve">Couple plus 2 children same sex of </w:t>
            </w:r>
            <w:r w:rsidR="000F72BE">
              <w:rPr>
                <w:b w:val="0"/>
                <w:sz w:val="22"/>
              </w:rPr>
              <w:t>ANY</w:t>
            </w:r>
            <w:r w:rsidR="00554120">
              <w:rPr>
                <w:b w:val="0"/>
                <w:sz w:val="22"/>
              </w:rPr>
              <w:t xml:space="preserve"> age where less than 10 year age gap OR</w:t>
            </w:r>
          </w:p>
          <w:p w:rsidR="00554120" w:rsidRDefault="00554120" w:rsidP="00554120">
            <w:pPr>
              <w:pStyle w:val="Subheading"/>
              <w:ind w:left="0" w:firstLine="0"/>
              <w:rPr>
                <w:b w:val="0"/>
                <w:sz w:val="22"/>
              </w:rPr>
            </w:pPr>
            <w:r>
              <w:rPr>
                <w:b w:val="0"/>
                <w:sz w:val="22"/>
              </w:rPr>
              <w:t>2 children of same sex if more than 10 year age gap between them if oldest is under 16 OR</w:t>
            </w:r>
          </w:p>
          <w:p w:rsidR="00554120" w:rsidRDefault="00554120" w:rsidP="00554120">
            <w:pPr>
              <w:pStyle w:val="Subheading"/>
              <w:ind w:left="0" w:firstLine="0"/>
              <w:rPr>
                <w:b w:val="0"/>
                <w:sz w:val="22"/>
              </w:rPr>
            </w:pPr>
            <w:r>
              <w:rPr>
                <w:b w:val="0"/>
                <w:sz w:val="22"/>
              </w:rPr>
              <w:t>2 children of different sex up to age of 10</w:t>
            </w:r>
          </w:p>
          <w:p w:rsidR="000F72BE" w:rsidRDefault="000F72BE" w:rsidP="000F72BE">
            <w:pPr>
              <w:pStyle w:val="Subheading"/>
              <w:ind w:left="0" w:firstLine="0"/>
              <w:rPr>
                <w:b w:val="0"/>
                <w:sz w:val="22"/>
              </w:rPr>
            </w:pPr>
            <w:r>
              <w:rPr>
                <w:b w:val="0"/>
                <w:sz w:val="22"/>
              </w:rPr>
              <w:t xml:space="preserve">A non-residential </w:t>
            </w:r>
            <w:proofErr w:type="spellStart"/>
            <w:r>
              <w:rPr>
                <w:b w:val="0"/>
                <w:sz w:val="22"/>
              </w:rPr>
              <w:t>carer</w:t>
            </w:r>
            <w:proofErr w:type="spellEnd"/>
            <w:r>
              <w:rPr>
                <w:b w:val="0"/>
                <w:sz w:val="22"/>
              </w:rPr>
              <w:t xml:space="preserve">, providing overnight care for a resident adult </w:t>
            </w:r>
          </w:p>
          <w:p w:rsidR="000F72BE" w:rsidRDefault="000F72BE" w:rsidP="000F72BE">
            <w:pPr>
              <w:pStyle w:val="Subheading"/>
              <w:ind w:left="0" w:firstLine="0"/>
              <w:rPr>
                <w:b w:val="0"/>
                <w:sz w:val="22"/>
              </w:rPr>
            </w:pPr>
            <w:r>
              <w:rPr>
                <w:b w:val="0"/>
                <w:sz w:val="22"/>
              </w:rPr>
              <w:t>Couple with agreed medical need for separate bedrooms</w:t>
            </w:r>
          </w:p>
        </w:tc>
      </w:tr>
      <w:tr w:rsidR="00F867C5" w:rsidTr="00F867C5">
        <w:trPr>
          <w:trHeight w:val="654"/>
        </w:trPr>
        <w:tc>
          <w:tcPr>
            <w:tcW w:w="1383" w:type="dxa"/>
          </w:tcPr>
          <w:p w:rsidR="00F867C5" w:rsidRDefault="00F867C5" w:rsidP="00554120">
            <w:pPr>
              <w:pStyle w:val="Subheading"/>
              <w:ind w:left="0" w:firstLine="0"/>
              <w:rPr>
                <w:b w:val="0"/>
                <w:sz w:val="22"/>
              </w:rPr>
            </w:pPr>
            <w:r>
              <w:rPr>
                <w:b w:val="0"/>
                <w:sz w:val="22"/>
              </w:rPr>
              <w:t>3</w:t>
            </w:r>
          </w:p>
        </w:tc>
        <w:tc>
          <w:tcPr>
            <w:tcW w:w="1560" w:type="dxa"/>
          </w:tcPr>
          <w:p w:rsidR="00F867C5" w:rsidRDefault="00F867C5" w:rsidP="00554120">
            <w:pPr>
              <w:pStyle w:val="Subheading"/>
              <w:ind w:left="0" w:firstLine="0"/>
              <w:rPr>
                <w:b w:val="0"/>
                <w:sz w:val="22"/>
              </w:rPr>
            </w:pPr>
            <w:r>
              <w:rPr>
                <w:b w:val="0"/>
                <w:sz w:val="22"/>
              </w:rPr>
              <w:t>3-6</w:t>
            </w:r>
          </w:p>
        </w:tc>
        <w:tc>
          <w:tcPr>
            <w:tcW w:w="2551" w:type="dxa"/>
            <w:vMerge w:val="restart"/>
          </w:tcPr>
          <w:p w:rsidR="00F867C5" w:rsidRDefault="00F867C5" w:rsidP="000F72BE">
            <w:pPr>
              <w:pStyle w:val="Subheading"/>
              <w:ind w:left="0" w:firstLine="0"/>
              <w:rPr>
                <w:b w:val="0"/>
                <w:sz w:val="22"/>
              </w:rPr>
            </w:pPr>
            <w:r>
              <w:rPr>
                <w:b w:val="0"/>
                <w:sz w:val="22"/>
              </w:rPr>
              <w:t>Any additional children subject to the same sharing criteria above</w:t>
            </w:r>
          </w:p>
          <w:p w:rsidR="00F867C5" w:rsidRDefault="00F867C5" w:rsidP="000F72BE">
            <w:pPr>
              <w:pStyle w:val="Subheading"/>
              <w:ind w:left="0" w:firstLine="0"/>
              <w:rPr>
                <w:b w:val="0"/>
                <w:sz w:val="22"/>
              </w:rPr>
            </w:pPr>
            <w:r>
              <w:rPr>
                <w:b w:val="0"/>
                <w:sz w:val="22"/>
              </w:rPr>
              <w:t>Any other single adult member of household aged 16 plus</w:t>
            </w:r>
          </w:p>
        </w:tc>
        <w:tc>
          <w:tcPr>
            <w:tcW w:w="3153" w:type="dxa"/>
            <w:vMerge w:val="restart"/>
          </w:tcPr>
          <w:p w:rsidR="00F867C5" w:rsidRDefault="00F867C5" w:rsidP="00554120">
            <w:pPr>
              <w:pStyle w:val="Subheading"/>
              <w:ind w:left="0" w:firstLine="0"/>
              <w:rPr>
                <w:b w:val="0"/>
                <w:sz w:val="22"/>
              </w:rPr>
            </w:pPr>
            <w:r>
              <w:rPr>
                <w:b w:val="0"/>
                <w:sz w:val="22"/>
              </w:rPr>
              <w:t>Any additional children subject to the same sharing criteria above</w:t>
            </w:r>
          </w:p>
          <w:p w:rsidR="00F867C5" w:rsidRDefault="00F867C5" w:rsidP="003F7D98">
            <w:pPr>
              <w:pStyle w:val="Subheading"/>
              <w:ind w:left="0" w:firstLine="0"/>
              <w:rPr>
                <w:b w:val="0"/>
                <w:sz w:val="22"/>
              </w:rPr>
            </w:pPr>
            <w:r>
              <w:rPr>
                <w:b w:val="0"/>
                <w:sz w:val="22"/>
              </w:rPr>
              <w:t>Any child over the age of 16 where there is more than a 10 year age group to the next same sex sibling</w:t>
            </w:r>
          </w:p>
          <w:p w:rsidR="00F867C5" w:rsidRDefault="00F867C5" w:rsidP="003F7D98">
            <w:pPr>
              <w:pStyle w:val="Subheading"/>
              <w:ind w:left="0" w:firstLine="0"/>
              <w:rPr>
                <w:b w:val="0"/>
                <w:sz w:val="22"/>
              </w:rPr>
            </w:pPr>
            <w:r>
              <w:rPr>
                <w:b w:val="0"/>
                <w:sz w:val="22"/>
              </w:rPr>
              <w:t xml:space="preserve">Any other adult household member(s) aged 18 plus </w:t>
            </w:r>
          </w:p>
        </w:tc>
      </w:tr>
      <w:tr w:rsidR="00F867C5" w:rsidTr="00F867C5">
        <w:trPr>
          <w:trHeight w:val="654"/>
        </w:trPr>
        <w:tc>
          <w:tcPr>
            <w:tcW w:w="1383" w:type="dxa"/>
          </w:tcPr>
          <w:p w:rsidR="00F867C5" w:rsidRDefault="00F867C5" w:rsidP="003C601A">
            <w:pPr>
              <w:pStyle w:val="Subheading"/>
              <w:ind w:left="0" w:firstLine="0"/>
              <w:rPr>
                <w:b w:val="0"/>
                <w:sz w:val="22"/>
              </w:rPr>
            </w:pPr>
            <w:r>
              <w:rPr>
                <w:b w:val="0"/>
                <w:sz w:val="22"/>
              </w:rPr>
              <w:t>4</w:t>
            </w:r>
          </w:p>
        </w:tc>
        <w:tc>
          <w:tcPr>
            <w:tcW w:w="1560" w:type="dxa"/>
          </w:tcPr>
          <w:p w:rsidR="00F867C5" w:rsidRDefault="00F867C5" w:rsidP="003C601A">
            <w:pPr>
              <w:pStyle w:val="Subheading"/>
              <w:ind w:left="0" w:firstLine="0"/>
              <w:rPr>
                <w:b w:val="0"/>
                <w:sz w:val="22"/>
              </w:rPr>
            </w:pPr>
            <w:r>
              <w:rPr>
                <w:b w:val="0"/>
                <w:sz w:val="22"/>
              </w:rPr>
              <w:t>4-8</w:t>
            </w:r>
          </w:p>
        </w:tc>
        <w:tc>
          <w:tcPr>
            <w:tcW w:w="2551" w:type="dxa"/>
            <w:vMerge/>
          </w:tcPr>
          <w:p w:rsidR="00F867C5" w:rsidRDefault="00F867C5" w:rsidP="000F72BE">
            <w:pPr>
              <w:pStyle w:val="Subheading"/>
              <w:ind w:left="0" w:firstLine="0"/>
              <w:rPr>
                <w:b w:val="0"/>
                <w:sz w:val="22"/>
              </w:rPr>
            </w:pPr>
          </w:p>
        </w:tc>
        <w:tc>
          <w:tcPr>
            <w:tcW w:w="3153" w:type="dxa"/>
            <w:vMerge/>
          </w:tcPr>
          <w:p w:rsidR="00F867C5" w:rsidRDefault="00F867C5" w:rsidP="00554120">
            <w:pPr>
              <w:pStyle w:val="Subheading"/>
              <w:ind w:left="0" w:firstLine="0"/>
              <w:rPr>
                <w:b w:val="0"/>
                <w:sz w:val="22"/>
              </w:rPr>
            </w:pPr>
          </w:p>
        </w:tc>
      </w:tr>
      <w:tr w:rsidR="00F867C5" w:rsidTr="00F867C5">
        <w:trPr>
          <w:trHeight w:val="654"/>
        </w:trPr>
        <w:tc>
          <w:tcPr>
            <w:tcW w:w="1383" w:type="dxa"/>
          </w:tcPr>
          <w:p w:rsidR="00F867C5" w:rsidRDefault="00F867C5" w:rsidP="003C601A">
            <w:pPr>
              <w:pStyle w:val="Subheading"/>
              <w:ind w:left="0" w:firstLine="0"/>
              <w:rPr>
                <w:b w:val="0"/>
                <w:sz w:val="22"/>
              </w:rPr>
            </w:pPr>
            <w:r>
              <w:rPr>
                <w:b w:val="0"/>
                <w:sz w:val="22"/>
              </w:rPr>
              <w:t>5</w:t>
            </w:r>
          </w:p>
        </w:tc>
        <w:tc>
          <w:tcPr>
            <w:tcW w:w="1560" w:type="dxa"/>
          </w:tcPr>
          <w:p w:rsidR="00F867C5" w:rsidRDefault="00F867C5" w:rsidP="003C601A">
            <w:pPr>
              <w:pStyle w:val="Subheading"/>
              <w:ind w:left="0" w:firstLine="0"/>
              <w:rPr>
                <w:b w:val="0"/>
                <w:sz w:val="22"/>
              </w:rPr>
            </w:pPr>
            <w:r>
              <w:rPr>
                <w:b w:val="0"/>
                <w:sz w:val="22"/>
              </w:rPr>
              <w:t>6 plus</w:t>
            </w:r>
          </w:p>
        </w:tc>
        <w:tc>
          <w:tcPr>
            <w:tcW w:w="2551" w:type="dxa"/>
            <w:vMerge/>
          </w:tcPr>
          <w:p w:rsidR="00F867C5" w:rsidRDefault="00F867C5" w:rsidP="000F72BE">
            <w:pPr>
              <w:pStyle w:val="Subheading"/>
              <w:ind w:left="0" w:firstLine="0"/>
              <w:rPr>
                <w:b w:val="0"/>
                <w:sz w:val="22"/>
              </w:rPr>
            </w:pPr>
          </w:p>
        </w:tc>
        <w:tc>
          <w:tcPr>
            <w:tcW w:w="3153" w:type="dxa"/>
            <w:vMerge/>
          </w:tcPr>
          <w:p w:rsidR="00F867C5" w:rsidRDefault="00F867C5" w:rsidP="00554120">
            <w:pPr>
              <w:pStyle w:val="Subheading"/>
              <w:ind w:left="0" w:firstLine="0"/>
              <w:rPr>
                <w:b w:val="0"/>
                <w:sz w:val="22"/>
              </w:rPr>
            </w:pPr>
          </w:p>
        </w:tc>
      </w:tr>
      <w:tr w:rsidR="00F867C5" w:rsidTr="00F867C5">
        <w:trPr>
          <w:trHeight w:val="654"/>
        </w:trPr>
        <w:tc>
          <w:tcPr>
            <w:tcW w:w="1383" w:type="dxa"/>
          </w:tcPr>
          <w:p w:rsidR="00F867C5" w:rsidRDefault="00F867C5" w:rsidP="00554120">
            <w:pPr>
              <w:pStyle w:val="Subheading"/>
              <w:ind w:left="0"/>
              <w:rPr>
                <w:b w:val="0"/>
                <w:sz w:val="22"/>
              </w:rPr>
            </w:pPr>
          </w:p>
        </w:tc>
        <w:tc>
          <w:tcPr>
            <w:tcW w:w="1560" w:type="dxa"/>
          </w:tcPr>
          <w:p w:rsidR="00F867C5" w:rsidRDefault="00F867C5" w:rsidP="00554120">
            <w:pPr>
              <w:pStyle w:val="Subheading"/>
              <w:ind w:left="0"/>
              <w:rPr>
                <w:b w:val="0"/>
                <w:sz w:val="22"/>
              </w:rPr>
            </w:pPr>
          </w:p>
        </w:tc>
        <w:tc>
          <w:tcPr>
            <w:tcW w:w="2551" w:type="dxa"/>
            <w:vMerge/>
          </w:tcPr>
          <w:p w:rsidR="00F867C5" w:rsidRDefault="00F867C5" w:rsidP="000F72BE">
            <w:pPr>
              <w:pStyle w:val="Subheading"/>
              <w:ind w:left="0" w:firstLine="0"/>
              <w:rPr>
                <w:b w:val="0"/>
                <w:sz w:val="22"/>
              </w:rPr>
            </w:pPr>
          </w:p>
        </w:tc>
        <w:tc>
          <w:tcPr>
            <w:tcW w:w="3153" w:type="dxa"/>
            <w:vMerge/>
          </w:tcPr>
          <w:p w:rsidR="00F867C5" w:rsidRDefault="00F867C5" w:rsidP="00554120">
            <w:pPr>
              <w:pStyle w:val="Subheading"/>
              <w:ind w:left="0" w:firstLine="0"/>
              <w:rPr>
                <w:b w:val="0"/>
                <w:sz w:val="22"/>
              </w:rPr>
            </w:pPr>
          </w:p>
        </w:tc>
      </w:tr>
    </w:tbl>
    <w:p w:rsidR="00552D63" w:rsidRDefault="00552D63" w:rsidP="0010667E">
      <w:pPr>
        <w:rPr>
          <w:rFonts w:cs="Arial"/>
        </w:rPr>
      </w:pPr>
    </w:p>
    <w:p w:rsidR="0010667E" w:rsidRPr="0010667E" w:rsidRDefault="0010667E" w:rsidP="0010667E">
      <w:pPr>
        <w:rPr>
          <w:rFonts w:cs="Arial"/>
        </w:rPr>
      </w:pPr>
      <w:r w:rsidRPr="0010667E">
        <w:rPr>
          <w:rFonts w:cs="Arial"/>
        </w:rPr>
        <w:t xml:space="preserve">*A single adult within the household (who is not the applicant) would only be entitled to a separate room if there is no other person they can share with.  </w:t>
      </w:r>
    </w:p>
    <w:p w:rsidR="0010667E" w:rsidRPr="0010667E" w:rsidRDefault="0010667E" w:rsidP="0010667E">
      <w:pPr>
        <w:rPr>
          <w:rFonts w:cs="Arial"/>
        </w:rPr>
      </w:pPr>
      <w:r w:rsidRPr="0010667E">
        <w:rPr>
          <w:rFonts w:cs="Arial"/>
        </w:rPr>
        <w:t>However an adult would not be expected to share with their own child.</w:t>
      </w:r>
    </w:p>
    <w:p w:rsidR="009758DA" w:rsidRDefault="009758DA" w:rsidP="00554120">
      <w:pPr>
        <w:pStyle w:val="Subheading"/>
        <w:ind w:left="993" w:firstLine="0"/>
        <w:rPr>
          <w:b w:val="0"/>
          <w:sz w:val="22"/>
        </w:rPr>
      </w:pPr>
    </w:p>
    <w:p w:rsidR="00A27925" w:rsidRDefault="00A27925" w:rsidP="00554120">
      <w:pPr>
        <w:pStyle w:val="Subheading"/>
        <w:ind w:left="993" w:firstLine="0"/>
        <w:rPr>
          <w:b w:val="0"/>
          <w:sz w:val="22"/>
        </w:rPr>
      </w:pPr>
    </w:p>
    <w:p w:rsidR="00552D63" w:rsidRDefault="00552D63" w:rsidP="00A736A1">
      <w:pPr>
        <w:pStyle w:val="Subheading"/>
        <w:ind w:left="993" w:hanging="426"/>
        <w:rPr>
          <w:b w:val="0"/>
          <w:sz w:val="22"/>
        </w:rPr>
      </w:pPr>
    </w:p>
    <w:p w:rsidR="000F72BE" w:rsidRDefault="002E2F85" w:rsidP="00A736A1">
      <w:pPr>
        <w:pStyle w:val="Subheading"/>
        <w:ind w:left="993" w:hanging="426"/>
        <w:rPr>
          <w:b w:val="0"/>
          <w:sz w:val="22"/>
        </w:rPr>
      </w:pPr>
      <w:r>
        <w:rPr>
          <w:b w:val="0"/>
          <w:sz w:val="22"/>
        </w:rPr>
        <w:lastRenderedPageBreak/>
        <w:t>Where additional bedroom need</w:t>
      </w:r>
      <w:r w:rsidR="00B651BA">
        <w:rPr>
          <w:b w:val="0"/>
          <w:sz w:val="22"/>
        </w:rPr>
        <w:t xml:space="preserve"> may apply </w:t>
      </w:r>
      <w:r w:rsidR="000F72BE">
        <w:rPr>
          <w:b w:val="0"/>
          <w:sz w:val="22"/>
        </w:rPr>
        <w:t>–</w:t>
      </w:r>
      <w:r w:rsidR="00B651BA">
        <w:rPr>
          <w:b w:val="0"/>
          <w:sz w:val="22"/>
        </w:rPr>
        <w:t xml:space="preserve"> </w:t>
      </w:r>
    </w:p>
    <w:p w:rsidR="00B651BA" w:rsidRDefault="000F72BE" w:rsidP="006A35F7">
      <w:pPr>
        <w:pStyle w:val="Subheading"/>
        <w:numPr>
          <w:ilvl w:val="0"/>
          <w:numId w:val="11"/>
        </w:numPr>
        <w:ind w:left="993" w:hanging="567"/>
        <w:rPr>
          <w:b w:val="0"/>
          <w:sz w:val="22"/>
        </w:rPr>
      </w:pPr>
      <w:r>
        <w:rPr>
          <w:b w:val="0"/>
          <w:sz w:val="22"/>
        </w:rPr>
        <w:t>If an additional, or sole occupancy bedroom is recommended by a professional practitioner supporting a household.</w:t>
      </w:r>
    </w:p>
    <w:p w:rsidR="000F72BE" w:rsidRDefault="000F72BE" w:rsidP="006A35F7">
      <w:pPr>
        <w:pStyle w:val="Subheading"/>
        <w:numPr>
          <w:ilvl w:val="0"/>
          <w:numId w:val="11"/>
        </w:numPr>
        <w:ind w:left="993" w:hanging="567"/>
        <w:rPr>
          <w:b w:val="0"/>
          <w:sz w:val="22"/>
        </w:rPr>
      </w:pPr>
      <w:r>
        <w:rPr>
          <w:b w:val="0"/>
          <w:sz w:val="22"/>
        </w:rPr>
        <w:t>If a 2 bedroom Independent Living property cannot be let in a reasonable time frame to a qualifying household requiring 2 bedrooms then under-occupation may be permitted.</w:t>
      </w:r>
    </w:p>
    <w:p w:rsidR="000F72BE" w:rsidRDefault="000F72BE" w:rsidP="006A35F7">
      <w:pPr>
        <w:pStyle w:val="Subheading"/>
        <w:numPr>
          <w:ilvl w:val="0"/>
          <w:numId w:val="11"/>
        </w:numPr>
        <w:ind w:left="993" w:hanging="567"/>
        <w:rPr>
          <w:b w:val="0"/>
          <w:sz w:val="22"/>
        </w:rPr>
      </w:pPr>
      <w:r>
        <w:rPr>
          <w:b w:val="0"/>
          <w:sz w:val="22"/>
        </w:rPr>
        <w:t>In the Midlands sub-region only where the needs of the household are likely to change in the next 12 months (e.g. through pregnancy</w:t>
      </w:r>
      <w:r w:rsidR="003F7D98">
        <w:rPr>
          <w:b w:val="0"/>
          <w:sz w:val="22"/>
        </w:rPr>
        <w:t>, the age of the children, or another household member returning to live with the household.)</w:t>
      </w:r>
    </w:p>
    <w:p w:rsidR="000325E3" w:rsidRDefault="0096453D" w:rsidP="006A35F7">
      <w:pPr>
        <w:pStyle w:val="Subheading"/>
        <w:numPr>
          <w:ilvl w:val="0"/>
          <w:numId w:val="11"/>
        </w:numPr>
        <w:ind w:left="993" w:hanging="567"/>
        <w:rPr>
          <w:b w:val="0"/>
          <w:sz w:val="22"/>
        </w:rPr>
      </w:pPr>
      <w:r>
        <w:rPr>
          <w:b w:val="0"/>
          <w:sz w:val="22"/>
        </w:rPr>
        <w:t>Where children reside jointly with separated parents</w:t>
      </w:r>
      <w:r w:rsidR="002E2F85">
        <w:rPr>
          <w:b w:val="0"/>
          <w:sz w:val="22"/>
        </w:rPr>
        <w:t>, the family</w:t>
      </w:r>
      <w:r>
        <w:rPr>
          <w:b w:val="0"/>
          <w:sz w:val="22"/>
        </w:rPr>
        <w:t xml:space="preserve"> will be expected to </w:t>
      </w:r>
      <w:r w:rsidR="002E2F85">
        <w:rPr>
          <w:b w:val="0"/>
          <w:sz w:val="22"/>
        </w:rPr>
        <w:t>evidence the division</w:t>
      </w:r>
      <w:r>
        <w:rPr>
          <w:b w:val="0"/>
          <w:sz w:val="22"/>
        </w:rPr>
        <w:t xml:space="preserve"> of their parental responsibility, e.g. Family Court Order or </w:t>
      </w:r>
      <w:r w:rsidR="002E2F85">
        <w:rPr>
          <w:b w:val="0"/>
          <w:sz w:val="22"/>
        </w:rPr>
        <w:t xml:space="preserve">which parent is in </w:t>
      </w:r>
      <w:r>
        <w:rPr>
          <w:b w:val="0"/>
          <w:sz w:val="22"/>
        </w:rPr>
        <w:t xml:space="preserve">receipt of child benefit. </w:t>
      </w:r>
    </w:p>
    <w:p w:rsidR="000F72BE" w:rsidRPr="002F51CE" w:rsidRDefault="0096453D" w:rsidP="00552D63">
      <w:pPr>
        <w:pStyle w:val="Subheading"/>
        <w:spacing w:after="0"/>
        <w:ind w:left="993" w:firstLine="0"/>
        <w:rPr>
          <w:b w:val="0"/>
          <w:sz w:val="22"/>
        </w:rPr>
      </w:pPr>
      <w:r>
        <w:rPr>
          <w:b w:val="0"/>
          <w:sz w:val="22"/>
        </w:rPr>
        <w:t xml:space="preserve">In the Midlands sub-region only where a </w:t>
      </w:r>
      <w:proofErr w:type="gramStart"/>
      <w:r>
        <w:rPr>
          <w:b w:val="0"/>
          <w:sz w:val="22"/>
        </w:rPr>
        <w:t>child(</w:t>
      </w:r>
      <w:proofErr w:type="spellStart"/>
      <w:proofErr w:type="gramEnd"/>
      <w:r>
        <w:rPr>
          <w:b w:val="0"/>
          <w:sz w:val="22"/>
        </w:rPr>
        <w:t>ren</w:t>
      </w:r>
      <w:proofErr w:type="spellEnd"/>
      <w:r>
        <w:rPr>
          <w:b w:val="0"/>
          <w:sz w:val="22"/>
        </w:rPr>
        <w:t xml:space="preserve">) reside three or more nights per week they would qualify for dual bedroom eligibility as per above. In London and the South East sub regions a </w:t>
      </w:r>
      <w:proofErr w:type="gramStart"/>
      <w:r>
        <w:rPr>
          <w:b w:val="0"/>
          <w:sz w:val="22"/>
        </w:rPr>
        <w:t>child(</w:t>
      </w:r>
      <w:proofErr w:type="spellStart"/>
      <w:proofErr w:type="gramEnd"/>
      <w:r>
        <w:rPr>
          <w:b w:val="0"/>
          <w:sz w:val="22"/>
        </w:rPr>
        <w:t>ren</w:t>
      </w:r>
      <w:proofErr w:type="spellEnd"/>
      <w:r>
        <w:rPr>
          <w:b w:val="0"/>
          <w:sz w:val="22"/>
        </w:rPr>
        <w:t>) would qualify for bedroom eligibility at one, principal home, only.</w:t>
      </w:r>
    </w:p>
    <w:p w:rsidR="006C018D" w:rsidRDefault="006C018D" w:rsidP="00552D63">
      <w:pPr>
        <w:pStyle w:val="Subheading"/>
        <w:spacing w:after="0"/>
        <w:ind w:left="993" w:firstLine="0"/>
        <w:rPr>
          <w:b w:val="0"/>
          <w:sz w:val="22"/>
        </w:rPr>
      </w:pPr>
    </w:p>
    <w:p w:rsidR="003B1CA1" w:rsidRPr="00B63445" w:rsidRDefault="002F51CE" w:rsidP="00552D63">
      <w:pPr>
        <w:pStyle w:val="Subheading"/>
        <w:numPr>
          <w:ilvl w:val="1"/>
          <w:numId w:val="20"/>
        </w:numPr>
        <w:ind w:left="567" w:hanging="567"/>
        <w:rPr>
          <w:color w:val="auto"/>
          <w:sz w:val="22"/>
        </w:rPr>
      </w:pPr>
      <w:r w:rsidRPr="00B63445">
        <w:rPr>
          <w:color w:val="auto"/>
          <w:sz w:val="22"/>
        </w:rPr>
        <w:t>Multiple and provisional</w:t>
      </w:r>
      <w:r w:rsidR="003B1CA1" w:rsidRPr="00B63445">
        <w:rPr>
          <w:color w:val="auto"/>
          <w:sz w:val="22"/>
        </w:rPr>
        <w:t xml:space="preserve"> offers </w:t>
      </w:r>
    </w:p>
    <w:p w:rsidR="009651B5" w:rsidRDefault="009651B5" w:rsidP="00A736A1">
      <w:pPr>
        <w:pStyle w:val="Subheading"/>
        <w:ind w:firstLine="0"/>
        <w:rPr>
          <w:b w:val="0"/>
          <w:color w:val="auto"/>
          <w:sz w:val="22"/>
        </w:rPr>
      </w:pPr>
      <w:r w:rsidRPr="00B63445">
        <w:rPr>
          <w:b w:val="0"/>
          <w:color w:val="auto"/>
          <w:sz w:val="22"/>
        </w:rPr>
        <w:t xml:space="preserve">PA Housing will make Provisional Offers to prospective tenants, subject to an evaluation process prior to the signing of a tenancy. This evaluation may include a home visit or assessment of an applicant’s needs, a pre-tenancy </w:t>
      </w:r>
      <w:r w:rsidR="00B63445" w:rsidRPr="00B63445">
        <w:rPr>
          <w:b w:val="0"/>
          <w:color w:val="auto"/>
          <w:sz w:val="22"/>
        </w:rPr>
        <w:t xml:space="preserve">Income assessment, any other background checks </w:t>
      </w:r>
      <w:r w:rsidR="00B63445">
        <w:rPr>
          <w:b w:val="0"/>
          <w:color w:val="auto"/>
          <w:sz w:val="22"/>
        </w:rPr>
        <w:t xml:space="preserve">which are required, and the viewing of the property. </w:t>
      </w:r>
    </w:p>
    <w:p w:rsidR="009651B5" w:rsidRPr="009651B5" w:rsidRDefault="00B63445" w:rsidP="00A736A1">
      <w:pPr>
        <w:pStyle w:val="Subheading"/>
        <w:ind w:firstLine="0"/>
        <w:rPr>
          <w:b w:val="0"/>
          <w:color w:val="auto"/>
          <w:sz w:val="22"/>
        </w:rPr>
      </w:pPr>
      <w:r>
        <w:rPr>
          <w:b w:val="0"/>
          <w:color w:val="auto"/>
          <w:sz w:val="22"/>
        </w:rPr>
        <w:t xml:space="preserve">PA Housing may also issue multiple offer letters to prospective tenants, and arrange an open viewing of an available property. Each letter will indicate the ranking in numerical order of </w:t>
      </w:r>
      <w:r w:rsidR="002E2F85">
        <w:rPr>
          <w:b w:val="0"/>
          <w:color w:val="auto"/>
          <w:sz w:val="22"/>
        </w:rPr>
        <w:t>the</w:t>
      </w:r>
      <w:r>
        <w:rPr>
          <w:b w:val="0"/>
          <w:color w:val="auto"/>
          <w:sz w:val="22"/>
        </w:rPr>
        <w:t xml:space="preserve"> applicant</w:t>
      </w:r>
      <w:r w:rsidR="002E2F85">
        <w:rPr>
          <w:b w:val="0"/>
          <w:color w:val="auto"/>
          <w:sz w:val="22"/>
        </w:rPr>
        <w:t xml:space="preserve"> included in the multiple </w:t>
      </w:r>
      <w:proofErr w:type="gramStart"/>
      <w:r w:rsidR="002E2F85">
        <w:rPr>
          <w:b w:val="0"/>
          <w:color w:val="auto"/>
          <w:sz w:val="22"/>
        </w:rPr>
        <w:t>offer</w:t>
      </w:r>
      <w:proofErr w:type="gramEnd"/>
      <w:r>
        <w:rPr>
          <w:b w:val="0"/>
          <w:color w:val="auto"/>
          <w:sz w:val="22"/>
        </w:rPr>
        <w:t>.</w:t>
      </w:r>
    </w:p>
    <w:p w:rsidR="002F51CE" w:rsidRPr="00B63445" w:rsidRDefault="00B63445" w:rsidP="00552D63">
      <w:pPr>
        <w:pStyle w:val="Subheading"/>
        <w:numPr>
          <w:ilvl w:val="1"/>
          <w:numId w:val="20"/>
        </w:numPr>
        <w:ind w:left="567" w:hanging="567"/>
        <w:rPr>
          <w:color w:val="auto"/>
          <w:sz w:val="22"/>
        </w:rPr>
      </w:pPr>
      <w:r w:rsidRPr="00B63445">
        <w:rPr>
          <w:color w:val="auto"/>
          <w:sz w:val="22"/>
        </w:rPr>
        <w:t xml:space="preserve">Withdrawal of offers </w:t>
      </w:r>
    </w:p>
    <w:p w:rsidR="00B63445" w:rsidRPr="00B63445" w:rsidRDefault="00B63445" w:rsidP="00A736A1">
      <w:pPr>
        <w:pStyle w:val="Subheading"/>
        <w:ind w:firstLine="0"/>
        <w:rPr>
          <w:b w:val="0"/>
          <w:color w:val="auto"/>
          <w:sz w:val="22"/>
        </w:rPr>
      </w:pPr>
      <w:r w:rsidRPr="00B63445">
        <w:rPr>
          <w:b w:val="0"/>
          <w:color w:val="auto"/>
          <w:sz w:val="22"/>
        </w:rPr>
        <w:t xml:space="preserve">PA Housing reserves </w:t>
      </w:r>
      <w:r>
        <w:rPr>
          <w:b w:val="0"/>
          <w:color w:val="auto"/>
          <w:sz w:val="22"/>
        </w:rPr>
        <w:t>the right to withdraw a provisional offer of accommodation at any stage during the re-let process if there are any concerns about the prospective tenant’s ability to successfully maintain a tenancy, or their requirements are found to be different to those indicated by their application.</w:t>
      </w:r>
    </w:p>
    <w:p w:rsidR="006447D2" w:rsidRPr="00347605" w:rsidRDefault="00B63445" w:rsidP="00552D63">
      <w:pPr>
        <w:pStyle w:val="Subheading"/>
        <w:numPr>
          <w:ilvl w:val="1"/>
          <w:numId w:val="20"/>
        </w:numPr>
        <w:ind w:left="567" w:hanging="567"/>
        <w:rPr>
          <w:color w:val="auto"/>
          <w:sz w:val="22"/>
        </w:rPr>
      </w:pPr>
      <w:r w:rsidRPr="00347605">
        <w:rPr>
          <w:color w:val="auto"/>
          <w:sz w:val="22"/>
        </w:rPr>
        <w:t>Refusal of offers</w:t>
      </w:r>
    </w:p>
    <w:p w:rsidR="00347605" w:rsidRDefault="00347605" w:rsidP="00A736A1">
      <w:pPr>
        <w:pStyle w:val="Subheading"/>
        <w:ind w:firstLine="0"/>
        <w:rPr>
          <w:b w:val="0"/>
          <w:color w:val="auto"/>
          <w:sz w:val="22"/>
        </w:rPr>
      </w:pPr>
      <w:r w:rsidRPr="00347605">
        <w:rPr>
          <w:b w:val="0"/>
          <w:color w:val="auto"/>
          <w:sz w:val="22"/>
        </w:rPr>
        <w:t>If an applicant is nominated by a Local Authority and wishes to refuse an offer of accommodation</w:t>
      </w:r>
      <w:r>
        <w:rPr>
          <w:b w:val="0"/>
          <w:color w:val="auto"/>
          <w:sz w:val="22"/>
        </w:rPr>
        <w:t>, PA Housing will advise the applicant to seek immediate advice from that local authority as to the consequences this may have for any fut</w:t>
      </w:r>
      <w:r w:rsidR="006B546A">
        <w:rPr>
          <w:b w:val="0"/>
          <w:color w:val="auto"/>
          <w:sz w:val="22"/>
        </w:rPr>
        <w:t>ure housing assistance</w:t>
      </w:r>
      <w:r>
        <w:rPr>
          <w:b w:val="0"/>
          <w:color w:val="auto"/>
          <w:sz w:val="22"/>
        </w:rPr>
        <w:t>. If the Local Authority wishes to enforce the offer PA Housing will allow no more than 5 days for the applicant to reconsider.</w:t>
      </w:r>
    </w:p>
    <w:p w:rsidR="00347605" w:rsidRDefault="00347605" w:rsidP="00A736A1">
      <w:pPr>
        <w:pStyle w:val="Subheading"/>
        <w:ind w:firstLine="0"/>
        <w:rPr>
          <w:b w:val="0"/>
          <w:color w:val="auto"/>
          <w:sz w:val="22"/>
        </w:rPr>
      </w:pPr>
      <w:r>
        <w:rPr>
          <w:b w:val="0"/>
          <w:color w:val="auto"/>
          <w:sz w:val="22"/>
        </w:rPr>
        <w:t xml:space="preserve">Where applicants from a register held by PA Housing have bid on a property through choice based lettings, and wish to refuse the property, then sanctions may apply. The refusal will be considered and determined if reasonable or not. Reasonable reasons to refuse a property may include </w:t>
      </w:r>
      <w:proofErr w:type="spellStart"/>
      <w:r w:rsidRPr="00347605">
        <w:rPr>
          <w:b w:val="0"/>
          <w:color w:val="auto"/>
          <w:sz w:val="22"/>
          <w:lang w:val="en-GB"/>
        </w:rPr>
        <w:t>mis</w:t>
      </w:r>
      <w:proofErr w:type="spellEnd"/>
      <w:r>
        <w:rPr>
          <w:b w:val="0"/>
          <w:color w:val="auto"/>
          <w:sz w:val="22"/>
          <w:lang w:val="en-GB"/>
        </w:rPr>
        <w:t>-</w:t>
      </w:r>
      <w:r w:rsidRPr="00347605">
        <w:rPr>
          <w:b w:val="0"/>
          <w:color w:val="auto"/>
          <w:sz w:val="22"/>
          <w:lang w:val="en-GB"/>
        </w:rPr>
        <w:t>advertising</w:t>
      </w:r>
      <w:r>
        <w:rPr>
          <w:b w:val="0"/>
          <w:color w:val="auto"/>
          <w:sz w:val="22"/>
        </w:rPr>
        <w:t xml:space="preserve"> of the property, e.g. floor level; </w:t>
      </w:r>
      <w:r w:rsidR="00D33CCD">
        <w:rPr>
          <w:b w:val="0"/>
          <w:color w:val="auto"/>
          <w:sz w:val="22"/>
        </w:rPr>
        <w:t xml:space="preserve">or </w:t>
      </w:r>
      <w:r>
        <w:rPr>
          <w:b w:val="0"/>
          <w:color w:val="auto"/>
          <w:sz w:val="22"/>
        </w:rPr>
        <w:t>it not being suitable for adaptation</w:t>
      </w:r>
      <w:r w:rsidR="00D33CCD">
        <w:rPr>
          <w:b w:val="0"/>
          <w:color w:val="auto"/>
          <w:sz w:val="22"/>
        </w:rPr>
        <w:t xml:space="preserve">. In London and the South East sub-region only one reasonable offer of accommodation will be made to transfer applicants due to the shortage of social housing available. Should an applicant refuse a suitable offer of a property they have bid on their application may be suspended for 6 months. In the Midlands sub-region an applicant may be allowed up to three refusals before this sanction is applied. Any such decision will be made by the Lettings Manager based on whether the offer would have resolved the applicants housing needs and whether all the information was available to the applicant at the time of their bidding. </w:t>
      </w:r>
    </w:p>
    <w:p w:rsidR="00A27925" w:rsidRPr="00347605" w:rsidRDefault="00A27925" w:rsidP="00A736A1">
      <w:pPr>
        <w:pStyle w:val="Subheading"/>
        <w:ind w:firstLine="0"/>
        <w:rPr>
          <w:b w:val="0"/>
          <w:color w:val="auto"/>
          <w:sz w:val="22"/>
        </w:rPr>
      </w:pPr>
    </w:p>
    <w:p w:rsidR="006447D2" w:rsidRPr="007560AE" w:rsidRDefault="006447D2" w:rsidP="00552D63">
      <w:pPr>
        <w:pStyle w:val="Subheading"/>
        <w:numPr>
          <w:ilvl w:val="1"/>
          <w:numId w:val="20"/>
        </w:numPr>
        <w:ind w:left="567" w:hanging="567"/>
        <w:rPr>
          <w:color w:val="auto"/>
          <w:sz w:val="22"/>
        </w:rPr>
      </w:pPr>
      <w:r w:rsidRPr="007560AE">
        <w:rPr>
          <w:color w:val="auto"/>
          <w:sz w:val="22"/>
        </w:rPr>
        <w:t>Intentional worsening of circumstances</w:t>
      </w:r>
    </w:p>
    <w:p w:rsidR="007560AE" w:rsidRDefault="007560AE" w:rsidP="00A736A1">
      <w:pPr>
        <w:pStyle w:val="Subheading"/>
        <w:ind w:firstLine="0"/>
        <w:rPr>
          <w:b w:val="0"/>
          <w:color w:val="auto"/>
          <w:sz w:val="22"/>
        </w:rPr>
      </w:pPr>
      <w:r w:rsidRPr="007560AE">
        <w:rPr>
          <w:b w:val="0"/>
          <w:color w:val="auto"/>
          <w:sz w:val="22"/>
        </w:rPr>
        <w:lastRenderedPageBreak/>
        <w:t>Applicants will not</w:t>
      </w:r>
      <w:r w:rsidR="005C3CF8">
        <w:rPr>
          <w:b w:val="0"/>
          <w:color w:val="auto"/>
          <w:sz w:val="22"/>
        </w:rPr>
        <w:t xml:space="preserve"> be accepted for transfer if they have deliberately worsened their own housing circumstances by carrying out a mutual exchange to a less suitable property than their previous home.</w:t>
      </w:r>
    </w:p>
    <w:p w:rsidR="005C3CF8" w:rsidRDefault="005C3CF8" w:rsidP="00A736A1">
      <w:pPr>
        <w:pStyle w:val="Subheading"/>
        <w:ind w:firstLine="0"/>
        <w:rPr>
          <w:b w:val="0"/>
          <w:color w:val="auto"/>
          <w:sz w:val="22"/>
        </w:rPr>
      </w:pPr>
      <w:r>
        <w:rPr>
          <w:b w:val="0"/>
          <w:color w:val="auto"/>
          <w:sz w:val="22"/>
        </w:rPr>
        <w:t>Any other deliberate action, or inaction, which results in a worsening of the applicants’ housing circumstances, will render that need exempt from consideration when determining the priority of that applicant unless exceptional circumstances are proved.</w:t>
      </w:r>
    </w:p>
    <w:p w:rsidR="005C3CF8" w:rsidRDefault="005C3CF8" w:rsidP="00552D63">
      <w:pPr>
        <w:pStyle w:val="Subheading"/>
        <w:spacing w:after="0"/>
        <w:ind w:firstLine="0"/>
        <w:rPr>
          <w:b w:val="0"/>
          <w:color w:val="auto"/>
          <w:sz w:val="22"/>
        </w:rPr>
      </w:pPr>
      <w:r>
        <w:rPr>
          <w:b w:val="0"/>
          <w:color w:val="auto"/>
          <w:sz w:val="22"/>
        </w:rPr>
        <w:t>Households able to resolve their own housing needs by renting a suitable property in the private sector without recourse to public funds, and choose not to do so will not be awarded priority under the banding scheme.</w:t>
      </w:r>
    </w:p>
    <w:p w:rsidR="00A87388" w:rsidRPr="007560AE" w:rsidRDefault="00A87388" w:rsidP="00552D63">
      <w:pPr>
        <w:pStyle w:val="Subheading"/>
        <w:spacing w:after="0"/>
        <w:ind w:left="993" w:firstLine="0"/>
        <w:rPr>
          <w:b w:val="0"/>
          <w:color w:val="auto"/>
          <w:sz w:val="22"/>
        </w:rPr>
      </w:pPr>
    </w:p>
    <w:p w:rsidR="006447D2" w:rsidRPr="00A87388" w:rsidRDefault="00A87388" w:rsidP="00552D63">
      <w:pPr>
        <w:pStyle w:val="Subheading"/>
        <w:numPr>
          <w:ilvl w:val="1"/>
          <w:numId w:val="20"/>
        </w:numPr>
        <w:ind w:left="567" w:hanging="567"/>
        <w:rPr>
          <w:color w:val="auto"/>
          <w:sz w:val="22"/>
        </w:rPr>
      </w:pPr>
      <w:r>
        <w:rPr>
          <w:color w:val="auto"/>
          <w:sz w:val="22"/>
        </w:rPr>
        <w:t>Rights of A</w:t>
      </w:r>
      <w:r w:rsidR="006447D2" w:rsidRPr="00A87388">
        <w:rPr>
          <w:color w:val="auto"/>
          <w:sz w:val="22"/>
        </w:rPr>
        <w:t>ppeal</w:t>
      </w:r>
    </w:p>
    <w:p w:rsidR="00E50188" w:rsidRDefault="00A87388" w:rsidP="00552D63">
      <w:pPr>
        <w:pStyle w:val="Subheading"/>
        <w:spacing w:after="0"/>
        <w:ind w:firstLine="0"/>
        <w:rPr>
          <w:b w:val="0"/>
          <w:sz w:val="22"/>
        </w:rPr>
      </w:pPr>
      <w:r>
        <w:rPr>
          <w:b w:val="0"/>
          <w:sz w:val="22"/>
        </w:rPr>
        <w:t>All applicants have the right to appeal against any allocation decision taken by PA Housing. This may include where PA Housing has decided their application is ineligible, that they do not qualify for accommodation, or an offer of accommodation is withdrawn.</w:t>
      </w:r>
      <w:r w:rsidR="003C601A">
        <w:rPr>
          <w:b w:val="0"/>
          <w:sz w:val="22"/>
        </w:rPr>
        <w:t xml:space="preserve"> The applicant must express this in writing within 21 days of the decision having been made. If the applicant remains dissatisfied with the outcome of the appeal, they should seek independent advice. </w:t>
      </w:r>
      <w:r w:rsidR="006F76D3">
        <w:rPr>
          <w:b w:val="0"/>
          <w:sz w:val="22"/>
        </w:rPr>
        <w:t xml:space="preserve">They should only follow the PA Housing complaints process if they can demonstrate that there has been a failing of the </w:t>
      </w:r>
      <w:r w:rsidR="006F76D3" w:rsidRPr="006F76D3">
        <w:rPr>
          <w:b w:val="0"/>
          <w:sz w:val="22"/>
          <w:lang w:val="en-GB"/>
        </w:rPr>
        <w:t>organisation</w:t>
      </w:r>
      <w:r w:rsidR="006F76D3">
        <w:rPr>
          <w:b w:val="0"/>
          <w:sz w:val="22"/>
        </w:rPr>
        <w:t xml:space="preserve"> to follow this policy.</w:t>
      </w:r>
    </w:p>
    <w:p w:rsidR="003C601A" w:rsidRDefault="003C601A" w:rsidP="00552D63">
      <w:pPr>
        <w:pStyle w:val="Subheading"/>
        <w:spacing w:after="0"/>
        <w:ind w:left="930" w:firstLine="0"/>
        <w:rPr>
          <w:b w:val="0"/>
          <w:sz w:val="22"/>
        </w:rPr>
      </w:pPr>
    </w:p>
    <w:p w:rsidR="003B1CA1" w:rsidRPr="00552D63" w:rsidRDefault="005F0250" w:rsidP="00241A6D">
      <w:pPr>
        <w:pStyle w:val="Subheading"/>
        <w:numPr>
          <w:ilvl w:val="0"/>
          <w:numId w:val="20"/>
        </w:numPr>
        <w:ind w:left="567" w:hanging="567"/>
      </w:pPr>
      <w:r w:rsidRPr="00552D63">
        <w:t>Wider I</w:t>
      </w:r>
      <w:r w:rsidR="003B1CA1" w:rsidRPr="00552D63">
        <w:t>nitiatives</w:t>
      </w:r>
    </w:p>
    <w:p w:rsidR="00A736A1" w:rsidRPr="00A736A1" w:rsidRDefault="00A736A1" w:rsidP="00552D63">
      <w:pPr>
        <w:pStyle w:val="Subheading"/>
        <w:numPr>
          <w:ilvl w:val="1"/>
          <w:numId w:val="20"/>
        </w:numPr>
        <w:ind w:left="567" w:hanging="567"/>
        <w:rPr>
          <w:sz w:val="22"/>
        </w:rPr>
      </w:pPr>
      <w:r w:rsidRPr="00A736A1">
        <w:rPr>
          <w:sz w:val="22"/>
        </w:rPr>
        <w:t>Under 35s</w:t>
      </w:r>
    </w:p>
    <w:p w:rsidR="003B1CA1" w:rsidRDefault="00A65E1A" w:rsidP="00A736A1">
      <w:pPr>
        <w:pStyle w:val="Subheading"/>
        <w:ind w:firstLine="0"/>
        <w:rPr>
          <w:b w:val="0"/>
          <w:sz w:val="22"/>
        </w:rPr>
      </w:pPr>
      <w:r>
        <w:rPr>
          <w:b w:val="0"/>
          <w:sz w:val="22"/>
        </w:rPr>
        <w:t xml:space="preserve">In recognition of reduced </w:t>
      </w:r>
      <w:r w:rsidR="00031FD4">
        <w:rPr>
          <w:b w:val="0"/>
          <w:sz w:val="22"/>
        </w:rPr>
        <w:t>Housing Benefit eligibility for u</w:t>
      </w:r>
      <w:r w:rsidR="003B1CA1">
        <w:rPr>
          <w:b w:val="0"/>
          <w:sz w:val="22"/>
        </w:rPr>
        <w:t>nder 35</w:t>
      </w:r>
      <w:r w:rsidR="00031FD4">
        <w:rPr>
          <w:b w:val="0"/>
          <w:sz w:val="22"/>
        </w:rPr>
        <w:t xml:space="preserve"> year old</w:t>
      </w:r>
      <w:r w:rsidR="003B1CA1">
        <w:rPr>
          <w:b w:val="0"/>
          <w:sz w:val="22"/>
        </w:rPr>
        <w:t>s</w:t>
      </w:r>
      <w:r w:rsidR="00031FD4">
        <w:rPr>
          <w:b w:val="0"/>
          <w:sz w:val="22"/>
        </w:rPr>
        <w:t>,</w:t>
      </w:r>
      <w:r w:rsidR="00F92473">
        <w:rPr>
          <w:b w:val="0"/>
          <w:sz w:val="22"/>
        </w:rPr>
        <w:t xml:space="preserve"> </w:t>
      </w:r>
      <w:r w:rsidR="00031FD4">
        <w:rPr>
          <w:b w:val="0"/>
          <w:sz w:val="22"/>
        </w:rPr>
        <w:t>i</w:t>
      </w:r>
      <w:r w:rsidR="00F92473">
        <w:rPr>
          <w:b w:val="0"/>
          <w:sz w:val="22"/>
        </w:rPr>
        <w:t xml:space="preserve">n </w:t>
      </w:r>
      <w:r w:rsidR="00031FD4">
        <w:rPr>
          <w:b w:val="0"/>
          <w:sz w:val="22"/>
        </w:rPr>
        <w:t xml:space="preserve">the </w:t>
      </w:r>
      <w:r w:rsidR="00F92473">
        <w:rPr>
          <w:b w:val="0"/>
          <w:sz w:val="22"/>
        </w:rPr>
        <w:t xml:space="preserve">boroughs of Elmbridge, Richmond and Kingston in the South East sub-region </w:t>
      </w:r>
      <w:r w:rsidR="00031FD4">
        <w:rPr>
          <w:b w:val="0"/>
          <w:sz w:val="22"/>
        </w:rPr>
        <w:t xml:space="preserve">PA Housing has an </w:t>
      </w:r>
      <w:r w:rsidR="00F92473">
        <w:rPr>
          <w:b w:val="0"/>
          <w:sz w:val="22"/>
        </w:rPr>
        <w:t xml:space="preserve">arrangement to offer up to 10 studio flats to under 35 year olds </w:t>
      </w:r>
      <w:proofErr w:type="gramStart"/>
      <w:r w:rsidR="00F92473">
        <w:rPr>
          <w:b w:val="0"/>
          <w:sz w:val="22"/>
        </w:rPr>
        <w:t>currently</w:t>
      </w:r>
      <w:proofErr w:type="gramEnd"/>
      <w:r w:rsidR="00F92473">
        <w:rPr>
          <w:b w:val="0"/>
          <w:sz w:val="22"/>
        </w:rPr>
        <w:t xml:space="preserve"> not exempt from benefit cap or working</w:t>
      </w:r>
      <w:r w:rsidR="00031FD4">
        <w:rPr>
          <w:b w:val="0"/>
          <w:sz w:val="22"/>
        </w:rPr>
        <w:t>. They are issued</w:t>
      </w:r>
      <w:r w:rsidR="00F92473">
        <w:rPr>
          <w:b w:val="0"/>
          <w:sz w:val="22"/>
        </w:rPr>
        <w:t xml:space="preserve"> an A</w:t>
      </w:r>
      <w:r w:rsidR="0042417F">
        <w:rPr>
          <w:b w:val="0"/>
          <w:sz w:val="22"/>
        </w:rPr>
        <w:t xml:space="preserve">ssured </w:t>
      </w:r>
      <w:r w:rsidR="00F92473" w:rsidRPr="00D8624D">
        <w:rPr>
          <w:b w:val="0"/>
          <w:sz w:val="22"/>
          <w:lang w:val="en-GB"/>
        </w:rPr>
        <w:t>S</w:t>
      </w:r>
      <w:r w:rsidR="0042417F" w:rsidRPr="00D8624D">
        <w:rPr>
          <w:b w:val="0"/>
          <w:sz w:val="22"/>
          <w:lang w:val="en-GB"/>
        </w:rPr>
        <w:t>horthold</w:t>
      </w:r>
      <w:r w:rsidR="0042417F">
        <w:rPr>
          <w:b w:val="0"/>
          <w:sz w:val="22"/>
        </w:rPr>
        <w:t xml:space="preserve"> </w:t>
      </w:r>
      <w:r w:rsidR="00F92473">
        <w:rPr>
          <w:b w:val="0"/>
          <w:sz w:val="22"/>
        </w:rPr>
        <w:t>T</w:t>
      </w:r>
      <w:r w:rsidR="0042417F">
        <w:rPr>
          <w:b w:val="0"/>
          <w:sz w:val="22"/>
        </w:rPr>
        <w:t>enancy</w:t>
      </w:r>
      <w:r w:rsidR="00F92473">
        <w:rPr>
          <w:b w:val="0"/>
          <w:sz w:val="22"/>
        </w:rPr>
        <w:t xml:space="preserve"> </w:t>
      </w:r>
      <w:r w:rsidR="0042417F">
        <w:rPr>
          <w:b w:val="0"/>
          <w:sz w:val="22"/>
        </w:rPr>
        <w:t xml:space="preserve">for 6 months </w:t>
      </w:r>
      <w:r w:rsidR="00F92473">
        <w:rPr>
          <w:b w:val="0"/>
          <w:sz w:val="22"/>
        </w:rPr>
        <w:t xml:space="preserve">at </w:t>
      </w:r>
      <w:r w:rsidR="0042417F">
        <w:rPr>
          <w:b w:val="0"/>
          <w:sz w:val="22"/>
        </w:rPr>
        <w:t xml:space="preserve">a rent level reduced to the </w:t>
      </w:r>
      <w:r w:rsidR="00F92473">
        <w:rPr>
          <w:b w:val="0"/>
          <w:sz w:val="22"/>
        </w:rPr>
        <w:t>L</w:t>
      </w:r>
      <w:r w:rsidR="0042417F">
        <w:rPr>
          <w:b w:val="0"/>
          <w:sz w:val="22"/>
        </w:rPr>
        <w:t xml:space="preserve">ocal </w:t>
      </w:r>
      <w:r w:rsidR="00F92473">
        <w:rPr>
          <w:b w:val="0"/>
          <w:sz w:val="22"/>
        </w:rPr>
        <w:t>H</w:t>
      </w:r>
      <w:r w:rsidR="0042417F">
        <w:rPr>
          <w:b w:val="0"/>
          <w:sz w:val="22"/>
        </w:rPr>
        <w:t xml:space="preserve">ousing </w:t>
      </w:r>
      <w:r w:rsidR="00F92473">
        <w:rPr>
          <w:b w:val="0"/>
          <w:sz w:val="22"/>
        </w:rPr>
        <w:t>A</w:t>
      </w:r>
      <w:r w:rsidR="0042417F">
        <w:rPr>
          <w:b w:val="0"/>
          <w:sz w:val="22"/>
        </w:rPr>
        <w:t xml:space="preserve">llowance shared accommodation rate. This will be reviewed at </w:t>
      </w:r>
      <w:r w:rsidR="00031FD4">
        <w:rPr>
          <w:b w:val="0"/>
          <w:sz w:val="22"/>
        </w:rPr>
        <w:t xml:space="preserve">6 monthly intervals to determine engagement with back-to-work initiatives and success monitored prior to the </w:t>
      </w:r>
      <w:r w:rsidR="0042417F">
        <w:rPr>
          <w:b w:val="0"/>
          <w:sz w:val="22"/>
        </w:rPr>
        <w:t>next policy review in April 2018.</w:t>
      </w:r>
    </w:p>
    <w:p w:rsidR="00902FA6" w:rsidRPr="00604461" w:rsidRDefault="00F90C87" w:rsidP="00552D63">
      <w:pPr>
        <w:pStyle w:val="Subheading"/>
        <w:numPr>
          <w:ilvl w:val="1"/>
          <w:numId w:val="20"/>
        </w:numPr>
        <w:ind w:left="567" w:hanging="567"/>
        <w:rPr>
          <w:sz w:val="22"/>
        </w:rPr>
      </w:pPr>
      <w:r w:rsidRPr="00604461">
        <w:rPr>
          <w:sz w:val="22"/>
        </w:rPr>
        <w:t>Local Lettings Policies</w:t>
      </w:r>
      <w:r w:rsidR="00A65E1A" w:rsidRPr="00604461">
        <w:rPr>
          <w:sz w:val="22"/>
        </w:rPr>
        <w:t>.</w:t>
      </w:r>
    </w:p>
    <w:p w:rsidR="003B1CA1" w:rsidRDefault="00A65E1A" w:rsidP="00A736A1">
      <w:pPr>
        <w:pStyle w:val="Subheading"/>
        <w:ind w:firstLine="0"/>
        <w:rPr>
          <w:b w:val="0"/>
          <w:sz w:val="22"/>
        </w:rPr>
      </w:pPr>
      <w:r>
        <w:rPr>
          <w:b w:val="0"/>
          <w:sz w:val="22"/>
        </w:rPr>
        <w:t xml:space="preserve">PA Housing may operate local lettings policies on some estates to demonstrate our commitment to creating and maintaining sustainable homes and local communities. Where these are introduced the need for such will be clearly evidenced </w:t>
      </w:r>
      <w:r w:rsidR="00031FD4">
        <w:rPr>
          <w:b w:val="0"/>
          <w:sz w:val="22"/>
        </w:rPr>
        <w:t xml:space="preserve">with data collected internally and externally, </w:t>
      </w:r>
      <w:r>
        <w:rPr>
          <w:b w:val="0"/>
          <w:sz w:val="22"/>
        </w:rPr>
        <w:t xml:space="preserve">and agreed </w:t>
      </w:r>
      <w:r w:rsidR="00031FD4">
        <w:rPr>
          <w:b w:val="0"/>
          <w:sz w:val="22"/>
        </w:rPr>
        <w:t>in conjunction with</w:t>
      </w:r>
      <w:r>
        <w:rPr>
          <w:b w:val="0"/>
          <w:sz w:val="22"/>
        </w:rPr>
        <w:t xml:space="preserve"> the local authority and customers </w:t>
      </w:r>
      <w:r w:rsidR="00031FD4">
        <w:rPr>
          <w:b w:val="0"/>
          <w:sz w:val="22"/>
        </w:rPr>
        <w:t xml:space="preserve">or stakeholders </w:t>
      </w:r>
      <w:r>
        <w:rPr>
          <w:b w:val="0"/>
          <w:sz w:val="22"/>
        </w:rPr>
        <w:t>in the community. Any additional criteria or eligibility requirements will be clearly indicated to all prospective applicants</w:t>
      </w:r>
      <w:r w:rsidR="00E71117">
        <w:rPr>
          <w:b w:val="0"/>
          <w:sz w:val="22"/>
        </w:rPr>
        <w:t>. Alternatively,</w:t>
      </w:r>
      <w:r>
        <w:rPr>
          <w:b w:val="0"/>
          <w:sz w:val="22"/>
        </w:rPr>
        <w:t xml:space="preserve"> applicants identified as Key workers or through the Choice Plus scheme might be </w:t>
      </w:r>
      <w:r w:rsidRPr="00A65E1A">
        <w:rPr>
          <w:b w:val="0"/>
          <w:sz w:val="22"/>
          <w:lang w:val="en-GB"/>
        </w:rPr>
        <w:t>prioritised</w:t>
      </w:r>
      <w:r>
        <w:rPr>
          <w:b w:val="0"/>
          <w:sz w:val="22"/>
        </w:rPr>
        <w:t xml:space="preserve"> for allocations.</w:t>
      </w:r>
    </w:p>
    <w:p w:rsidR="005325A0" w:rsidRDefault="005325A0" w:rsidP="00E6103B">
      <w:pPr>
        <w:pStyle w:val="Subheading"/>
        <w:spacing w:after="0"/>
        <w:ind w:firstLine="0"/>
        <w:rPr>
          <w:b w:val="0"/>
          <w:sz w:val="22"/>
        </w:rPr>
      </w:pPr>
      <w:r>
        <w:rPr>
          <w:b w:val="0"/>
          <w:sz w:val="22"/>
        </w:rPr>
        <w:t>In addition to the above, vacancies arising from proceedings where crime or violence has taken place in the immediate location of the home will be classed as ‘sensitive lets’.</w:t>
      </w:r>
    </w:p>
    <w:p w:rsidR="005325A0" w:rsidRDefault="005325A0" w:rsidP="00E6103B">
      <w:pPr>
        <w:pStyle w:val="Subheading"/>
        <w:spacing w:after="0"/>
        <w:ind w:firstLine="0"/>
        <w:rPr>
          <w:b w:val="0"/>
          <w:sz w:val="22"/>
        </w:rPr>
      </w:pPr>
    </w:p>
    <w:p w:rsidR="003B1CA1" w:rsidRPr="00624B8C" w:rsidRDefault="003B1CA1" w:rsidP="00552D63">
      <w:pPr>
        <w:pStyle w:val="Subheading"/>
        <w:numPr>
          <w:ilvl w:val="1"/>
          <w:numId w:val="20"/>
        </w:numPr>
        <w:ind w:left="567" w:hanging="567"/>
        <w:rPr>
          <w:color w:val="auto"/>
          <w:sz w:val="22"/>
        </w:rPr>
      </w:pPr>
      <w:r w:rsidRPr="00624B8C">
        <w:rPr>
          <w:color w:val="auto"/>
          <w:sz w:val="22"/>
        </w:rPr>
        <w:t>Other Agencies</w:t>
      </w:r>
    </w:p>
    <w:p w:rsidR="004D4101" w:rsidRDefault="00624B8C" w:rsidP="00A736A1">
      <w:pPr>
        <w:pStyle w:val="Subheading"/>
        <w:ind w:firstLine="0"/>
        <w:rPr>
          <w:b w:val="0"/>
          <w:color w:val="auto"/>
          <w:sz w:val="22"/>
        </w:rPr>
      </w:pPr>
      <w:r w:rsidRPr="00624B8C">
        <w:rPr>
          <w:b w:val="0"/>
          <w:color w:val="auto"/>
          <w:sz w:val="22"/>
        </w:rPr>
        <w:t xml:space="preserve">PA Housing </w:t>
      </w:r>
      <w:r>
        <w:rPr>
          <w:b w:val="0"/>
          <w:color w:val="auto"/>
          <w:sz w:val="22"/>
        </w:rPr>
        <w:t xml:space="preserve">may choose to operate Service Level Agreements </w:t>
      </w:r>
      <w:r w:rsidR="00E344F2">
        <w:rPr>
          <w:b w:val="0"/>
          <w:color w:val="auto"/>
          <w:sz w:val="22"/>
        </w:rPr>
        <w:t>or</w:t>
      </w:r>
      <w:r>
        <w:rPr>
          <w:b w:val="0"/>
          <w:color w:val="auto"/>
          <w:sz w:val="22"/>
        </w:rPr>
        <w:t xml:space="preserve"> Agency and Consortium Agreements with a range of Agencies, and Social Housing Providers in order to assist in rehousing some of their clients. These would usually be difficult to let properties, and where the local authority has been unable to successfully nominate, or specific schemes. Current agencies include, but are not limited to – Compass, Veterans Nomination schemes, SPEAR, Bridge Housing Solutions</w:t>
      </w:r>
      <w:r w:rsidR="00E344F2">
        <w:rPr>
          <w:b w:val="0"/>
          <w:color w:val="auto"/>
          <w:sz w:val="22"/>
        </w:rPr>
        <w:t>, and Achieving for Children</w:t>
      </w:r>
      <w:r>
        <w:rPr>
          <w:b w:val="0"/>
          <w:color w:val="auto"/>
          <w:sz w:val="22"/>
        </w:rPr>
        <w:t xml:space="preserve">. </w:t>
      </w:r>
      <w:r w:rsidR="00E344F2">
        <w:rPr>
          <w:b w:val="0"/>
          <w:color w:val="auto"/>
          <w:sz w:val="22"/>
        </w:rPr>
        <w:t>Accommodation based f</w:t>
      </w:r>
      <w:r>
        <w:rPr>
          <w:b w:val="0"/>
          <w:color w:val="auto"/>
          <w:sz w:val="22"/>
        </w:rPr>
        <w:t>loating support for residents may also be offered by such agencies.</w:t>
      </w:r>
    </w:p>
    <w:p w:rsidR="00D8624D" w:rsidRDefault="00D8624D" w:rsidP="004D4101">
      <w:pPr>
        <w:pStyle w:val="Subheading"/>
        <w:ind w:left="993" w:firstLine="0"/>
        <w:rPr>
          <w:b w:val="0"/>
          <w:color w:val="auto"/>
          <w:sz w:val="22"/>
        </w:rPr>
      </w:pPr>
    </w:p>
    <w:p w:rsidR="00902FA6" w:rsidRPr="004D4101" w:rsidRDefault="003B1CA1" w:rsidP="00E6103B">
      <w:pPr>
        <w:pStyle w:val="Subheading"/>
        <w:numPr>
          <w:ilvl w:val="1"/>
          <w:numId w:val="20"/>
        </w:numPr>
        <w:ind w:left="567" w:hanging="567"/>
        <w:rPr>
          <w:sz w:val="22"/>
        </w:rPr>
      </w:pPr>
      <w:r>
        <w:rPr>
          <w:b w:val="0"/>
          <w:sz w:val="22"/>
        </w:rPr>
        <w:t>‘</w:t>
      </w:r>
      <w:r w:rsidRPr="004D4101">
        <w:rPr>
          <w:sz w:val="22"/>
        </w:rPr>
        <w:t>High Risk’ allocations</w:t>
      </w:r>
      <w:r w:rsidR="00902FA6" w:rsidRPr="004D4101">
        <w:rPr>
          <w:sz w:val="22"/>
        </w:rPr>
        <w:t xml:space="preserve"> </w:t>
      </w:r>
    </w:p>
    <w:p w:rsidR="00031FD4" w:rsidRDefault="00031FD4" w:rsidP="00A736A1">
      <w:pPr>
        <w:pStyle w:val="Subheading"/>
        <w:ind w:firstLine="0"/>
        <w:rPr>
          <w:b w:val="0"/>
          <w:sz w:val="22"/>
        </w:rPr>
      </w:pPr>
      <w:r>
        <w:rPr>
          <w:b w:val="0"/>
          <w:sz w:val="22"/>
        </w:rPr>
        <w:t>PA Housing will expect any nominating Local authority to share all relevant recent medical or risk-related paperwork in accordance with data sharing protocols, for the safeguarding of our staff and other residents.</w:t>
      </w:r>
      <w:r w:rsidR="00AE7CF1">
        <w:rPr>
          <w:b w:val="0"/>
          <w:sz w:val="22"/>
        </w:rPr>
        <w:t xml:space="preserve"> </w:t>
      </w:r>
      <w:r w:rsidR="00EE6576">
        <w:rPr>
          <w:b w:val="0"/>
          <w:sz w:val="22"/>
        </w:rPr>
        <w:t xml:space="preserve">We reserve the right to refuse to re-house high-risk potential nominees where all the relevant professional agencies </w:t>
      </w:r>
      <w:r w:rsidR="00E71117">
        <w:rPr>
          <w:b w:val="0"/>
          <w:sz w:val="22"/>
        </w:rPr>
        <w:t xml:space="preserve">involved </w:t>
      </w:r>
      <w:r w:rsidR="00EE6576">
        <w:rPr>
          <w:b w:val="0"/>
          <w:sz w:val="22"/>
        </w:rPr>
        <w:t xml:space="preserve">do not support the allocation, or fail to provide the required paperwork. In some cases we may refuse a high-risk applicant for a particular property due to locally specific circumstances, but consider them for housing elsewhere. </w:t>
      </w:r>
      <w:r w:rsidR="00AE7CF1">
        <w:rPr>
          <w:b w:val="0"/>
          <w:sz w:val="22"/>
        </w:rPr>
        <w:t xml:space="preserve">We may seek to interview the potential nominee prior to any </w:t>
      </w:r>
      <w:r w:rsidR="00EE6576">
        <w:rPr>
          <w:b w:val="0"/>
          <w:sz w:val="22"/>
        </w:rPr>
        <w:t xml:space="preserve">offer being made to ensure they are aware that </w:t>
      </w:r>
      <w:r w:rsidR="00AE7CF1">
        <w:rPr>
          <w:b w:val="0"/>
          <w:sz w:val="22"/>
        </w:rPr>
        <w:t xml:space="preserve">commitment to engaging with support services </w:t>
      </w:r>
      <w:r w:rsidR="00EE6576">
        <w:rPr>
          <w:b w:val="0"/>
          <w:sz w:val="22"/>
        </w:rPr>
        <w:t xml:space="preserve">is integral to their maintaining a tenancy. In some instances we may ask a potential nominee to sign an Acceptable </w:t>
      </w:r>
      <w:r w:rsidR="00EE6576" w:rsidRPr="00EE6576">
        <w:rPr>
          <w:b w:val="0"/>
          <w:sz w:val="22"/>
          <w:lang w:val="en-GB"/>
        </w:rPr>
        <w:t>Behaviour</w:t>
      </w:r>
      <w:r w:rsidR="00EE6576">
        <w:rPr>
          <w:b w:val="0"/>
          <w:sz w:val="22"/>
        </w:rPr>
        <w:t xml:space="preserve"> contract in addition to their tenancy agreement.</w:t>
      </w:r>
    </w:p>
    <w:p w:rsidR="003B1CA1" w:rsidRDefault="00EE6576" w:rsidP="00E6103B">
      <w:pPr>
        <w:pStyle w:val="Subheading"/>
        <w:spacing w:after="0"/>
        <w:ind w:firstLine="0"/>
        <w:rPr>
          <w:b w:val="0"/>
          <w:sz w:val="22"/>
        </w:rPr>
      </w:pPr>
      <w:r>
        <w:rPr>
          <w:b w:val="0"/>
          <w:sz w:val="22"/>
        </w:rPr>
        <w:t xml:space="preserve">PA Housing will work in partnership </w:t>
      </w:r>
      <w:r w:rsidR="00E71117">
        <w:rPr>
          <w:b w:val="0"/>
          <w:sz w:val="22"/>
        </w:rPr>
        <w:t xml:space="preserve">with </w:t>
      </w:r>
      <w:r w:rsidR="00581625">
        <w:rPr>
          <w:b w:val="0"/>
          <w:sz w:val="22"/>
        </w:rPr>
        <w:t>Probation and the Police in relation to rehousing applicants subject to</w:t>
      </w:r>
      <w:r>
        <w:rPr>
          <w:b w:val="0"/>
          <w:sz w:val="22"/>
        </w:rPr>
        <w:t xml:space="preserve"> </w:t>
      </w:r>
      <w:r w:rsidR="00F92473">
        <w:rPr>
          <w:b w:val="0"/>
          <w:sz w:val="22"/>
        </w:rPr>
        <w:t>M</w:t>
      </w:r>
      <w:r>
        <w:rPr>
          <w:b w:val="0"/>
          <w:sz w:val="22"/>
        </w:rPr>
        <w:t xml:space="preserve">ulti </w:t>
      </w:r>
      <w:r w:rsidR="00F92473">
        <w:rPr>
          <w:b w:val="0"/>
          <w:sz w:val="22"/>
        </w:rPr>
        <w:t>A</w:t>
      </w:r>
      <w:r>
        <w:rPr>
          <w:b w:val="0"/>
          <w:sz w:val="22"/>
        </w:rPr>
        <w:t xml:space="preserve">gency </w:t>
      </w:r>
      <w:r w:rsidR="00F92473">
        <w:rPr>
          <w:b w:val="0"/>
          <w:sz w:val="22"/>
        </w:rPr>
        <w:t>P</w:t>
      </w:r>
      <w:r w:rsidR="00581625">
        <w:rPr>
          <w:b w:val="0"/>
          <w:sz w:val="22"/>
        </w:rPr>
        <w:t xml:space="preserve">ublic </w:t>
      </w:r>
      <w:r w:rsidR="00F92473">
        <w:rPr>
          <w:b w:val="0"/>
          <w:sz w:val="22"/>
        </w:rPr>
        <w:t>P</w:t>
      </w:r>
      <w:r w:rsidR="00581625">
        <w:rPr>
          <w:b w:val="0"/>
          <w:sz w:val="22"/>
        </w:rPr>
        <w:t xml:space="preserve">rotection </w:t>
      </w:r>
      <w:r w:rsidR="00F92473">
        <w:rPr>
          <w:b w:val="0"/>
          <w:sz w:val="22"/>
        </w:rPr>
        <w:t>A</w:t>
      </w:r>
      <w:r w:rsidR="00E71117">
        <w:rPr>
          <w:b w:val="0"/>
          <w:sz w:val="22"/>
        </w:rPr>
        <w:t>rrange</w:t>
      </w:r>
      <w:r w:rsidR="00581625">
        <w:rPr>
          <w:b w:val="0"/>
          <w:sz w:val="22"/>
        </w:rPr>
        <w:t>ment</w:t>
      </w:r>
      <w:r w:rsidR="00E71117">
        <w:rPr>
          <w:b w:val="0"/>
          <w:sz w:val="22"/>
        </w:rPr>
        <w:t>s</w:t>
      </w:r>
      <w:r w:rsidR="00581625">
        <w:rPr>
          <w:b w:val="0"/>
          <w:sz w:val="22"/>
        </w:rPr>
        <w:t xml:space="preserve"> or</w:t>
      </w:r>
      <w:r w:rsidR="00F92473">
        <w:rPr>
          <w:b w:val="0"/>
          <w:sz w:val="22"/>
        </w:rPr>
        <w:t xml:space="preserve"> N</w:t>
      </w:r>
      <w:r w:rsidR="00581625">
        <w:rPr>
          <w:b w:val="0"/>
          <w:sz w:val="22"/>
        </w:rPr>
        <w:t xml:space="preserve">ational </w:t>
      </w:r>
      <w:r w:rsidR="00F92473">
        <w:rPr>
          <w:b w:val="0"/>
          <w:sz w:val="22"/>
        </w:rPr>
        <w:t>A</w:t>
      </w:r>
      <w:r w:rsidR="00581625">
        <w:rPr>
          <w:b w:val="0"/>
          <w:sz w:val="22"/>
        </w:rPr>
        <w:t xml:space="preserve">ccommodation </w:t>
      </w:r>
      <w:r w:rsidR="00F92473">
        <w:rPr>
          <w:b w:val="0"/>
          <w:sz w:val="22"/>
        </w:rPr>
        <w:t>S</w:t>
      </w:r>
      <w:r w:rsidR="00581625">
        <w:rPr>
          <w:b w:val="0"/>
          <w:sz w:val="22"/>
        </w:rPr>
        <w:t xml:space="preserve">trategy for housing </w:t>
      </w:r>
      <w:r w:rsidR="00F92473">
        <w:rPr>
          <w:b w:val="0"/>
          <w:sz w:val="22"/>
        </w:rPr>
        <w:t>S</w:t>
      </w:r>
      <w:r w:rsidR="00581625">
        <w:rPr>
          <w:b w:val="0"/>
          <w:sz w:val="22"/>
        </w:rPr>
        <w:t xml:space="preserve">ex </w:t>
      </w:r>
      <w:r w:rsidR="00F92473">
        <w:rPr>
          <w:b w:val="0"/>
          <w:sz w:val="22"/>
        </w:rPr>
        <w:t>O</w:t>
      </w:r>
      <w:r w:rsidR="00581625">
        <w:rPr>
          <w:b w:val="0"/>
          <w:sz w:val="22"/>
        </w:rPr>
        <w:t xml:space="preserve">ffenders risk management. On occasion we may be approached directly </w:t>
      </w:r>
      <w:r w:rsidR="00E71117">
        <w:rPr>
          <w:b w:val="0"/>
          <w:sz w:val="22"/>
        </w:rPr>
        <w:t xml:space="preserve">by such </w:t>
      </w:r>
      <w:r w:rsidR="00E71117" w:rsidRPr="00E71117">
        <w:rPr>
          <w:b w:val="0"/>
          <w:sz w:val="22"/>
          <w:lang w:val="en-GB"/>
        </w:rPr>
        <w:t>organisations</w:t>
      </w:r>
      <w:r w:rsidR="00E71117">
        <w:rPr>
          <w:b w:val="0"/>
          <w:sz w:val="22"/>
        </w:rPr>
        <w:t xml:space="preserve"> or by a local authority on their behalf, </w:t>
      </w:r>
      <w:r w:rsidR="00581625">
        <w:rPr>
          <w:b w:val="0"/>
          <w:sz w:val="22"/>
        </w:rPr>
        <w:t>and a direct offer of accommodation may be made outside of any choice based lettings advertisement.</w:t>
      </w:r>
    </w:p>
    <w:p w:rsidR="00D8624D" w:rsidRDefault="00D8624D" w:rsidP="00E6103B">
      <w:pPr>
        <w:pStyle w:val="Subheading"/>
        <w:spacing w:after="0"/>
        <w:ind w:left="993" w:firstLine="0"/>
        <w:rPr>
          <w:b w:val="0"/>
          <w:sz w:val="22"/>
        </w:rPr>
      </w:pPr>
    </w:p>
    <w:p w:rsidR="00BA2E47" w:rsidRPr="005F0250" w:rsidRDefault="003B1CA1" w:rsidP="00E6103B">
      <w:pPr>
        <w:pStyle w:val="Subheading"/>
        <w:numPr>
          <w:ilvl w:val="1"/>
          <w:numId w:val="20"/>
        </w:numPr>
        <w:ind w:left="567" w:hanging="567"/>
        <w:rPr>
          <w:sz w:val="22"/>
        </w:rPr>
      </w:pPr>
      <w:r w:rsidRPr="005F0250">
        <w:rPr>
          <w:sz w:val="22"/>
        </w:rPr>
        <w:t>Sustainment and Affordability</w:t>
      </w:r>
      <w:r w:rsidR="00902FA6" w:rsidRPr="005F0250">
        <w:rPr>
          <w:sz w:val="22"/>
        </w:rPr>
        <w:t xml:space="preserve"> </w:t>
      </w:r>
    </w:p>
    <w:p w:rsidR="003B1CA1" w:rsidRDefault="007418B4" w:rsidP="00A736A1">
      <w:pPr>
        <w:pStyle w:val="Subheading"/>
        <w:ind w:firstLine="0"/>
        <w:rPr>
          <w:b w:val="0"/>
          <w:sz w:val="22"/>
        </w:rPr>
      </w:pPr>
      <w:r>
        <w:rPr>
          <w:b w:val="0"/>
          <w:sz w:val="22"/>
        </w:rPr>
        <w:t xml:space="preserve">PA Housing will carry out an affordability assessment with households to offer support and </w:t>
      </w:r>
      <w:r w:rsidRPr="007418B4">
        <w:rPr>
          <w:b w:val="0"/>
          <w:sz w:val="22"/>
          <w:lang w:val="en-GB"/>
        </w:rPr>
        <w:t>maximise</w:t>
      </w:r>
      <w:r>
        <w:rPr>
          <w:b w:val="0"/>
          <w:sz w:val="22"/>
        </w:rPr>
        <w:t xml:space="preserve"> their income potential, especially where a cap on benefits may apply. We will clearly state the level of rent applicable on each nomination request or advertised property, and will work with applicants to ensure that they have a sufficient income to meet this. In rare occasions this may mean that we refer a nominated household back to the local authority if we cannot demonstrate that they can afford to pay the rent.</w:t>
      </w:r>
    </w:p>
    <w:p w:rsidR="00F3261C" w:rsidRDefault="00F3261C" w:rsidP="00A736A1">
      <w:pPr>
        <w:pStyle w:val="Subheading"/>
        <w:ind w:firstLine="0"/>
        <w:rPr>
          <w:b w:val="0"/>
          <w:sz w:val="22"/>
        </w:rPr>
      </w:pPr>
      <w:r>
        <w:rPr>
          <w:b w:val="0"/>
          <w:sz w:val="22"/>
        </w:rPr>
        <w:t xml:space="preserve">PA Housing lets a proportion of properties at Affordable Rents which are up to 80% of local market rent, or the local housing allowance, whichever is lower. Once a property has been let at Affordable Rent it will not revert to a social rent. We may seek to </w:t>
      </w:r>
      <w:r w:rsidRPr="00F3261C">
        <w:rPr>
          <w:b w:val="0"/>
          <w:sz w:val="22"/>
          <w:lang w:val="en-GB"/>
        </w:rPr>
        <w:t>prioritise</w:t>
      </w:r>
      <w:r>
        <w:rPr>
          <w:b w:val="0"/>
          <w:sz w:val="22"/>
        </w:rPr>
        <w:t xml:space="preserve"> households in employment for such properties, and any such distinction would be made clearly aware to applicants when advertised.</w:t>
      </w:r>
    </w:p>
    <w:p w:rsidR="00E50188" w:rsidRDefault="00BA2E47" w:rsidP="00A736A1">
      <w:pPr>
        <w:pStyle w:val="Subheading"/>
        <w:ind w:firstLine="0"/>
        <w:rPr>
          <w:b w:val="0"/>
          <w:sz w:val="22"/>
        </w:rPr>
      </w:pPr>
      <w:r>
        <w:rPr>
          <w:b w:val="0"/>
          <w:sz w:val="22"/>
        </w:rPr>
        <w:t>In areas of higher deprivation we may seek to allocate homes to applicants who are working, in training or in higher education in order to contribute to local economic growth, and the development of sustainable mixed communities. This may be on a case by case basis or as part of a wider local lettings or regeneration plan, and agreed with the local Authority as required.</w:t>
      </w:r>
    </w:p>
    <w:p w:rsidR="005F0250" w:rsidRPr="00E6103B" w:rsidRDefault="005F0250" w:rsidP="001D776D">
      <w:pPr>
        <w:pStyle w:val="Subheading"/>
        <w:ind w:left="993" w:firstLine="0"/>
        <w:rPr>
          <w:b w:val="0"/>
          <w:sz w:val="22"/>
        </w:rPr>
      </w:pPr>
    </w:p>
    <w:p w:rsidR="006447D2" w:rsidRPr="00E6103B" w:rsidRDefault="006447D2" w:rsidP="00241A6D">
      <w:pPr>
        <w:pStyle w:val="Subheading"/>
        <w:numPr>
          <w:ilvl w:val="0"/>
          <w:numId w:val="20"/>
        </w:numPr>
        <w:ind w:left="567" w:hanging="567"/>
        <w:rPr>
          <w:color w:val="auto"/>
        </w:rPr>
      </w:pPr>
      <w:r w:rsidRPr="00E6103B">
        <w:rPr>
          <w:color w:val="auto"/>
        </w:rPr>
        <w:t>Other Client Groups / Access routes</w:t>
      </w:r>
    </w:p>
    <w:p w:rsidR="003B1CA1" w:rsidRPr="00976FA8" w:rsidRDefault="006447D2" w:rsidP="00E6103B">
      <w:pPr>
        <w:pStyle w:val="Subheading"/>
        <w:numPr>
          <w:ilvl w:val="1"/>
          <w:numId w:val="20"/>
        </w:numPr>
        <w:ind w:left="567" w:hanging="567"/>
        <w:rPr>
          <w:color w:val="auto"/>
          <w:sz w:val="22"/>
        </w:rPr>
      </w:pPr>
      <w:r w:rsidRPr="00976FA8">
        <w:rPr>
          <w:color w:val="auto"/>
          <w:sz w:val="22"/>
        </w:rPr>
        <w:t>Supported Housing</w:t>
      </w:r>
    </w:p>
    <w:p w:rsidR="00976FA8" w:rsidRDefault="00976FA8" w:rsidP="00A736A1">
      <w:pPr>
        <w:pStyle w:val="Subheading"/>
        <w:ind w:firstLine="0"/>
        <w:rPr>
          <w:b w:val="0"/>
          <w:color w:val="auto"/>
          <w:sz w:val="22"/>
        </w:rPr>
      </w:pPr>
      <w:r w:rsidRPr="00976FA8">
        <w:rPr>
          <w:b w:val="0"/>
          <w:color w:val="auto"/>
          <w:sz w:val="22"/>
        </w:rPr>
        <w:t>The primary source of Allocation for supported housing is direct referrals from the relevant professional bodies, services, or the Local Authority.</w:t>
      </w:r>
      <w:r>
        <w:rPr>
          <w:b w:val="0"/>
          <w:color w:val="auto"/>
          <w:sz w:val="22"/>
        </w:rPr>
        <w:t xml:space="preserve"> They will be responsible for </w:t>
      </w:r>
      <w:r w:rsidR="009E1AA8">
        <w:rPr>
          <w:b w:val="0"/>
          <w:color w:val="auto"/>
          <w:sz w:val="22"/>
        </w:rPr>
        <w:t xml:space="preserve">any panel or approval process. </w:t>
      </w:r>
    </w:p>
    <w:p w:rsidR="009E1AA8" w:rsidRDefault="009E1AA8" w:rsidP="00A736A1">
      <w:pPr>
        <w:pStyle w:val="Subheading"/>
        <w:ind w:firstLine="0"/>
        <w:rPr>
          <w:b w:val="0"/>
          <w:color w:val="auto"/>
          <w:sz w:val="22"/>
        </w:rPr>
      </w:pPr>
      <w:r>
        <w:rPr>
          <w:b w:val="0"/>
          <w:color w:val="auto"/>
          <w:sz w:val="22"/>
        </w:rPr>
        <w:t xml:space="preserve">For schemes managed directly by PA Housing </w:t>
      </w:r>
      <w:r w:rsidR="006524AA">
        <w:rPr>
          <w:b w:val="0"/>
          <w:color w:val="auto"/>
          <w:sz w:val="22"/>
        </w:rPr>
        <w:t>nominations may be provided by the support provider or the Local Authority, and PA Housing reserves the right to refuse these nominations only if specific concerns are raised as per sections 4.3 and 5.4 of this policy.</w:t>
      </w:r>
    </w:p>
    <w:p w:rsidR="006524AA" w:rsidRDefault="006524AA" w:rsidP="00A736A1">
      <w:pPr>
        <w:pStyle w:val="Subheading"/>
        <w:ind w:firstLine="0"/>
        <w:rPr>
          <w:b w:val="0"/>
          <w:color w:val="auto"/>
          <w:sz w:val="22"/>
        </w:rPr>
      </w:pPr>
      <w:r>
        <w:rPr>
          <w:b w:val="0"/>
          <w:color w:val="auto"/>
          <w:sz w:val="22"/>
        </w:rPr>
        <w:t>Extra Care living is available to prospective tenants with support needs as identified by the commissioning Local Authority, who will set any additional eligibility requirements and / or assessment process.</w:t>
      </w:r>
    </w:p>
    <w:p w:rsidR="006524AA" w:rsidRDefault="006524AA" w:rsidP="00976FA8">
      <w:pPr>
        <w:pStyle w:val="Subheading"/>
        <w:ind w:left="993" w:firstLine="0"/>
        <w:rPr>
          <w:b w:val="0"/>
          <w:color w:val="auto"/>
          <w:sz w:val="22"/>
        </w:rPr>
      </w:pPr>
    </w:p>
    <w:p w:rsidR="00CA0210" w:rsidRPr="00CA0210" w:rsidRDefault="00CA0210" w:rsidP="00E6103B">
      <w:pPr>
        <w:pStyle w:val="Subheading"/>
        <w:numPr>
          <w:ilvl w:val="1"/>
          <w:numId w:val="20"/>
        </w:numPr>
        <w:ind w:left="567" w:hanging="567"/>
        <w:rPr>
          <w:color w:val="auto"/>
          <w:sz w:val="22"/>
        </w:rPr>
      </w:pPr>
      <w:r w:rsidRPr="00CA0210">
        <w:rPr>
          <w:color w:val="auto"/>
          <w:sz w:val="22"/>
        </w:rPr>
        <w:t>Key Worker accommodation</w:t>
      </w:r>
    </w:p>
    <w:p w:rsidR="00CA0210" w:rsidRDefault="00CA0210" w:rsidP="00A736A1">
      <w:pPr>
        <w:pStyle w:val="Subheading"/>
        <w:ind w:firstLine="0"/>
        <w:rPr>
          <w:b w:val="0"/>
          <w:color w:val="auto"/>
          <w:sz w:val="22"/>
        </w:rPr>
      </w:pPr>
      <w:r>
        <w:rPr>
          <w:b w:val="0"/>
          <w:color w:val="auto"/>
          <w:sz w:val="22"/>
        </w:rPr>
        <w:t xml:space="preserve">Where properties have been designated for key workers these will be let on assured </w:t>
      </w:r>
      <w:proofErr w:type="spellStart"/>
      <w:r>
        <w:rPr>
          <w:b w:val="0"/>
          <w:color w:val="auto"/>
          <w:sz w:val="22"/>
        </w:rPr>
        <w:t>shorthold</w:t>
      </w:r>
      <w:proofErr w:type="spellEnd"/>
      <w:r>
        <w:rPr>
          <w:b w:val="0"/>
          <w:color w:val="auto"/>
          <w:sz w:val="22"/>
        </w:rPr>
        <w:t xml:space="preserve"> tenancies to qualifying direct applicants at approximately 80% of the market rental value, plus any service charges. The Local authority will usually define which public sector roles they consider to be ‘</w:t>
      </w:r>
      <w:proofErr w:type="gramStart"/>
      <w:r>
        <w:rPr>
          <w:b w:val="0"/>
          <w:color w:val="auto"/>
          <w:sz w:val="22"/>
        </w:rPr>
        <w:t>key</w:t>
      </w:r>
      <w:proofErr w:type="gramEnd"/>
      <w:r>
        <w:rPr>
          <w:b w:val="0"/>
          <w:color w:val="auto"/>
          <w:sz w:val="22"/>
        </w:rPr>
        <w:t xml:space="preserve">’ as this may vary regionally. Applicants will need to provide proof of their employment and their income as the same thresholds apply as to other applicants. Right to rent checks will also be carried out. Once allocated a property, key worker tenants are not eligible to apply for transfer. However, if their property is designated for redevelopment or disposal an alternative key worker property may be offered at PA Housing’s discretion, subject to the tenancy having been conducted satisfactorily. </w:t>
      </w:r>
    </w:p>
    <w:p w:rsidR="00CA0210" w:rsidRDefault="00CA0210" w:rsidP="00E6103B">
      <w:pPr>
        <w:pStyle w:val="Subheading"/>
        <w:spacing w:after="0"/>
        <w:ind w:firstLine="0"/>
        <w:rPr>
          <w:b w:val="0"/>
          <w:color w:val="auto"/>
          <w:sz w:val="22"/>
        </w:rPr>
      </w:pPr>
      <w:r>
        <w:rPr>
          <w:b w:val="0"/>
          <w:color w:val="auto"/>
          <w:sz w:val="22"/>
        </w:rPr>
        <w:t>In some cases, and with specific agreement, PA Housing may let social o</w:t>
      </w:r>
      <w:r w:rsidR="005C0916">
        <w:rPr>
          <w:b w:val="0"/>
          <w:color w:val="auto"/>
          <w:sz w:val="22"/>
        </w:rPr>
        <w:t>r</w:t>
      </w:r>
      <w:r>
        <w:rPr>
          <w:b w:val="0"/>
          <w:color w:val="auto"/>
          <w:sz w:val="22"/>
        </w:rPr>
        <w:t xml:space="preserve"> affordable rented properties to key workers as part of a strategy of sensitive </w:t>
      </w:r>
      <w:proofErr w:type="gramStart"/>
      <w:r>
        <w:rPr>
          <w:b w:val="0"/>
          <w:color w:val="auto"/>
          <w:sz w:val="22"/>
        </w:rPr>
        <w:t>lets</w:t>
      </w:r>
      <w:proofErr w:type="gramEnd"/>
      <w:r>
        <w:rPr>
          <w:b w:val="0"/>
          <w:color w:val="auto"/>
          <w:sz w:val="22"/>
        </w:rPr>
        <w:t xml:space="preserve"> to manage serious anti-social </w:t>
      </w:r>
      <w:proofErr w:type="spellStart"/>
      <w:r>
        <w:rPr>
          <w:b w:val="0"/>
          <w:color w:val="auto"/>
          <w:sz w:val="22"/>
        </w:rPr>
        <w:t>behavio</w:t>
      </w:r>
      <w:r w:rsidR="0010667E">
        <w:rPr>
          <w:b w:val="0"/>
          <w:color w:val="auto"/>
          <w:sz w:val="22"/>
        </w:rPr>
        <w:t>u</w:t>
      </w:r>
      <w:r>
        <w:rPr>
          <w:b w:val="0"/>
          <w:color w:val="auto"/>
          <w:sz w:val="22"/>
        </w:rPr>
        <w:t>r</w:t>
      </w:r>
      <w:proofErr w:type="spellEnd"/>
      <w:r w:rsidR="00331EB8">
        <w:rPr>
          <w:b w:val="0"/>
          <w:color w:val="auto"/>
          <w:sz w:val="22"/>
        </w:rPr>
        <w:t>.</w:t>
      </w:r>
    </w:p>
    <w:p w:rsidR="00331EB8" w:rsidRPr="00976FA8" w:rsidRDefault="00331EB8" w:rsidP="00E6103B">
      <w:pPr>
        <w:pStyle w:val="Subheading"/>
        <w:spacing w:after="0"/>
        <w:ind w:left="993" w:firstLine="0"/>
        <w:rPr>
          <w:b w:val="0"/>
          <w:color w:val="auto"/>
          <w:sz w:val="22"/>
        </w:rPr>
      </w:pPr>
    </w:p>
    <w:p w:rsidR="006447D2" w:rsidRPr="00732D29" w:rsidRDefault="006447D2" w:rsidP="00E6103B">
      <w:pPr>
        <w:pStyle w:val="Subheading"/>
        <w:numPr>
          <w:ilvl w:val="1"/>
          <w:numId w:val="20"/>
        </w:numPr>
        <w:ind w:left="567" w:hanging="567"/>
        <w:rPr>
          <w:color w:val="auto"/>
          <w:sz w:val="22"/>
        </w:rPr>
      </w:pPr>
      <w:r w:rsidRPr="00732D29">
        <w:rPr>
          <w:color w:val="auto"/>
          <w:sz w:val="22"/>
        </w:rPr>
        <w:t>Management Moves</w:t>
      </w:r>
    </w:p>
    <w:p w:rsidR="00732D29" w:rsidRDefault="00C942A4" w:rsidP="00A736A1">
      <w:pPr>
        <w:pStyle w:val="Subheading"/>
        <w:ind w:firstLine="0"/>
        <w:rPr>
          <w:b w:val="0"/>
          <w:color w:val="auto"/>
          <w:sz w:val="22"/>
        </w:rPr>
      </w:pPr>
      <w:r>
        <w:rPr>
          <w:b w:val="0"/>
          <w:color w:val="auto"/>
          <w:sz w:val="22"/>
        </w:rPr>
        <w:t xml:space="preserve">These are direct </w:t>
      </w:r>
      <w:proofErr w:type="gramStart"/>
      <w:r>
        <w:rPr>
          <w:b w:val="0"/>
          <w:color w:val="auto"/>
          <w:sz w:val="22"/>
        </w:rPr>
        <w:t>lets</w:t>
      </w:r>
      <w:proofErr w:type="gramEnd"/>
      <w:r>
        <w:rPr>
          <w:b w:val="0"/>
          <w:color w:val="auto"/>
          <w:sz w:val="22"/>
        </w:rPr>
        <w:t xml:space="preserve"> made to existing PA Housing residents and </w:t>
      </w:r>
      <w:r w:rsidR="00732D29" w:rsidRPr="00732D29">
        <w:rPr>
          <w:b w:val="0"/>
          <w:color w:val="auto"/>
          <w:sz w:val="22"/>
        </w:rPr>
        <w:t>will only be considered</w:t>
      </w:r>
      <w:r w:rsidR="00732D29">
        <w:rPr>
          <w:b w:val="0"/>
          <w:color w:val="auto"/>
          <w:sz w:val="22"/>
        </w:rPr>
        <w:t xml:space="preserve"> in extremely limited circumstances, outside of any housing register or choice based lettings scheme. </w:t>
      </w:r>
      <w:r>
        <w:rPr>
          <w:b w:val="0"/>
          <w:color w:val="auto"/>
          <w:sz w:val="22"/>
        </w:rPr>
        <w:t>Candidates will be assessed on a case-by-case basis</w:t>
      </w:r>
      <w:r w:rsidR="00117FAF">
        <w:rPr>
          <w:b w:val="0"/>
          <w:color w:val="auto"/>
          <w:sz w:val="22"/>
        </w:rPr>
        <w:t xml:space="preserve"> by the appropriate sub-regional housing office</w:t>
      </w:r>
      <w:r>
        <w:rPr>
          <w:b w:val="0"/>
          <w:color w:val="auto"/>
          <w:sz w:val="22"/>
        </w:rPr>
        <w:t xml:space="preserve">. Offers are made on a single offer, like-for-like property only </w:t>
      </w:r>
      <w:proofErr w:type="gramStart"/>
      <w:r>
        <w:rPr>
          <w:b w:val="0"/>
          <w:color w:val="auto"/>
          <w:sz w:val="22"/>
        </w:rPr>
        <w:t>basis</w:t>
      </w:r>
      <w:r w:rsidR="00707C41">
        <w:rPr>
          <w:b w:val="0"/>
          <w:color w:val="auto"/>
          <w:sz w:val="22"/>
        </w:rPr>
        <w:t>,</w:t>
      </w:r>
      <w:proofErr w:type="gramEnd"/>
      <w:r w:rsidR="00707C41">
        <w:rPr>
          <w:b w:val="0"/>
          <w:color w:val="auto"/>
          <w:sz w:val="22"/>
        </w:rPr>
        <w:t xml:space="preserve"> and depending on the availability of accommodation and any recommendations may be away from the locality or the borough of the applicant’s current home</w:t>
      </w:r>
      <w:r>
        <w:rPr>
          <w:b w:val="0"/>
          <w:color w:val="auto"/>
          <w:sz w:val="22"/>
        </w:rPr>
        <w:t xml:space="preserve">. </w:t>
      </w:r>
      <w:r w:rsidR="00732D29">
        <w:rPr>
          <w:b w:val="0"/>
          <w:color w:val="auto"/>
          <w:sz w:val="22"/>
        </w:rPr>
        <w:t xml:space="preserve">Qualification must be approved by the Head of Housing Services on review of a body of evidence including, for example, Multi Agency Risk Assessment Conference recommendations, </w:t>
      </w:r>
      <w:r w:rsidR="00394DD8">
        <w:rPr>
          <w:b w:val="0"/>
          <w:color w:val="auto"/>
          <w:sz w:val="22"/>
        </w:rPr>
        <w:t>police reports, s</w:t>
      </w:r>
      <w:r w:rsidR="00732D29">
        <w:rPr>
          <w:b w:val="0"/>
          <w:color w:val="auto"/>
          <w:sz w:val="22"/>
        </w:rPr>
        <w:t xml:space="preserve">afeguarding panel recommendations or a Personal Evacuation Escape Plan (PEEP) which identifies that the </w:t>
      </w:r>
      <w:r w:rsidR="00394DD8">
        <w:rPr>
          <w:b w:val="0"/>
          <w:color w:val="auto"/>
          <w:sz w:val="22"/>
        </w:rPr>
        <w:t>tenant or a member of their household could be at high risk if they remain in their current home.</w:t>
      </w:r>
    </w:p>
    <w:p w:rsidR="00394DD8" w:rsidRPr="00732D29" w:rsidRDefault="00394DD8" w:rsidP="00E6103B">
      <w:pPr>
        <w:pStyle w:val="Subheading"/>
        <w:spacing w:after="0"/>
        <w:ind w:firstLine="0"/>
        <w:rPr>
          <w:b w:val="0"/>
          <w:color w:val="auto"/>
          <w:sz w:val="22"/>
        </w:rPr>
      </w:pPr>
      <w:r>
        <w:rPr>
          <w:b w:val="0"/>
          <w:color w:val="auto"/>
          <w:sz w:val="22"/>
        </w:rPr>
        <w:t xml:space="preserve">If a management move </w:t>
      </w:r>
      <w:r w:rsidR="00557523">
        <w:rPr>
          <w:b w:val="0"/>
          <w:color w:val="auto"/>
          <w:sz w:val="22"/>
        </w:rPr>
        <w:t>is not, or is not anticipated to</w:t>
      </w:r>
      <w:r>
        <w:rPr>
          <w:b w:val="0"/>
          <w:color w:val="auto"/>
          <w:sz w:val="22"/>
        </w:rPr>
        <w:t xml:space="preserve"> be completed within 6 months, as a result of no suitable property in PA Housing stock having become available, then all other options including reciprocal arrangements with other social housing providers, or liaison with the Housing Needs department of the relevant Local Authority should be sought.</w:t>
      </w:r>
    </w:p>
    <w:p w:rsidR="00394DD8" w:rsidRPr="00786D5B" w:rsidRDefault="00394DD8" w:rsidP="00E6103B">
      <w:pPr>
        <w:pStyle w:val="Subheading"/>
        <w:spacing w:after="0"/>
        <w:ind w:left="993" w:firstLine="0"/>
        <w:rPr>
          <w:b w:val="0"/>
          <w:color w:val="auto"/>
          <w:sz w:val="22"/>
        </w:rPr>
      </w:pPr>
    </w:p>
    <w:p w:rsidR="006447D2" w:rsidRDefault="006447D2" w:rsidP="00E6103B">
      <w:pPr>
        <w:pStyle w:val="Subheading"/>
        <w:numPr>
          <w:ilvl w:val="1"/>
          <w:numId w:val="20"/>
        </w:numPr>
        <w:ind w:left="567" w:hanging="567"/>
        <w:rPr>
          <w:color w:val="auto"/>
          <w:sz w:val="22"/>
        </w:rPr>
      </w:pPr>
      <w:r w:rsidRPr="00786D5B">
        <w:rPr>
          <w:color w:val="auto"/>
          <w:sz w:val="22"/>
        </w:rPr>
        <w:t>Mutual Exchange</w:t>
      </w:r>
    </w:p>
    <w:p w:rsidR="00786D5B" w:rsidRDefault="00786D5B" w:rsidP="00A736A1">
      <w:pPr>
        <w:pStyle w:val="Subheading"/>
        <w:ind w:firstLine="0"/>
        <w:rPr>
          <w:b w:val="0"/>
          <w:color w:val="auto"/>
          <w:sz w:val="22"/>
        </w:rPr>
      </w:pPr>
      <w:r w:rsidRPr="00786D5B">
        <w:rPr>
          <w:b w:val="0"/>
          <w:color w:val="auto"/>
          <w:sz w:val="22"/>
        </w:rPr>
        <w:t xml:space="preserve">PA Housing </w:t>
      </w:r>
      <w:r w:rsidR="00707C41">
        <w:rPr>
          <w:b w:val="0"/>
          <w:color w:val="auto"/>
          <w:sz w:val="22"/>
        </w:rPr>
        <w:t xml:space="preserve">residents have the right to ‘swap’ </w:t>
      </w:r>
      <w:r w:rsidR="001630B0">
        <w:rPr>
          <w:b w:val="0"/>
          <w:color w:val="auto"/>
          <w:sz w:val="22"/>
        </w:rPr>
        <w:t xml:space="preserve">or exchange </w:t>
      </w:r>
      <w:r w:rsidR="00707C41">
        <w:rPr>
          <w:b w:val="0"/>
          <w:color w:val="auto"/>
          <w:sz w:val="22"/>
        </w:rPr>
        <w:t xml:space="preserve">tenancies </w:t>
      </w:r>
      <w:r w:rsidR="001630B0">
        <w:rPr>
          <w:b w:val="0"/>
          <w:color w:val="auto"/>
          <w:sz w:val="22"/>
        </w:rPr>
        <w:t xml:space="preserve">either with other PA Housing residents, or </w:t>
      </w:r>
      <w:r w:rsidR="00707C41">
        <w:rPr>
          <w:b w:val="0"/>
          <w:color w:val="auto"/>
          <w:sz w:val="22"/>
        </w:rPr>
        <w:t xml:space="preserve">with </w:t>
      </w:r>
      <w:r w:rsidR="001630B0">
        <w:rPr>
          <w:b w:val="0"/>
          <w:color w:val="auto"/>
          <w:sz w:val="22"/>
        </w:rPr>
        <w:t xml:space="preserve">residents of other social housing providers. We </w:t>
      </w:r>
      <w:r w:rsidRPr="00786D5B">
        <w:rPr>
          <w:b w:val="0"/>
          <w:color w:val="auto"/>
          <w:sz w:val="22"/>
        </w:rPr>
        <w:t>will</w:t>
      </w:r>
      <w:r>
        <w:rPr>
          <w:b w:val="0"/>
          <w:color w:val="auto"/>
          <w:sz w:val="22"/>
        </w:rPr>
        <w:t xml:space="preserve"> retain membership of the ‘Homeswapper’ national scheme, or an equivalent service, to facilitate </w:t>
      </w:r>
      <w:r w:rsidR="001630B0">
        <w:rPr>
          <w:b w:val="0"/>
          <w:color w:val="auto"/>
          <w:sz w:val="22"/>
        </w:rPr>
        <w:t xml:space="preserve">these </w:t>
      </w:r>
      <w:r>
        <w:rPr>
          <w:b w:val="0"/>
          <w:color w:val="auto"/>
          <w:sz w:val="22"/>
        </w:rPr>
        <w:t xml:space="preserve">mutual exchanges. For most tenants this is the most likely way that they will be able to move. </w:t>
      </w:r>
      <w:r w:rsidR="00E55A99">
        <w:rPr>
          <w:b w:val="0"/>
          <w:color w:val="auto"/>
          <w:sz w:val="22"/>
        </w:rPr>
        <w:t xml:space="preserve">Residents who do qualify to register for transfer must also register and actively </w:t>
      </w:r>
      <w:r w:rsidR="005C0916">
        <w:rPr>
          <w:b w:val="0"/>
          <w:color w:val="auto"/>
          <w:sz w:val="22"/>
        </w:rPr>
        <w:t>seek a mutual exchange</w:t>
      </w:r>
      <w:r w:rsidR="00E55A99">
        <w:rPr>
          <w:b w:val="0"/>
          <w:color w:val="auto"/>
          <w:sz w:val="22"/>
        </w:rPr>
        <w:t xml:space="preserve"> as they will be able to potentially access properties owned by many different landlords. </w:t>
      </w:r>
      <w:r>
        <w:rPr>
          <w:b w:val="0"/>
          <w:color w:val="auto"/>
          <w:sz w:val="22"/>
        </w:rPr>
        <w:t>A tenant may not apply to transfer within 12 months of having moved into a property by mutual exchange unless there has been a sudden and unforeseen change in their circumstances.</w:t>
      </w:r>
    </w:p>
    <w:p w:rsidR="00E55A99" w:rsidRDefault="00E55A99" w:rsidP="00E6103B">
      <w:pPr>
        <w:pStyle w:val="Subheading"/>
        <w:spacing w:after="0"/>
        <w:ind w:firstLine="0"/>
        <w:rPr>
          <w:b w:val="0"/>
          <w:color w:val="auto"/>
          <w:sz w:val="22"/>
        </w:rPr>
      </w:pPr>
      <w:r>
        <w:rPr>
          <w:b w:val="0"/>
          <w:color w:val="auto"/>
          <w:sz w:val="22"/>
        </w:rPr>
        <w:t>Further detail is given in the Mutual Exchange policy, as this is not considered an allocation under this policy.</w:t>
      </w:r>
    </w:p>
    <w:p w:rsidR="00331EB8" w:rsidRPr="00786D5B" w:rsidRDefault="00331EB8" w:rsidP="00E6103B">
      <w:pPr>
        <w:pStyle w:val="Subheading"/>
        <w:spacing w:after="0"/>
        <w:ind w:left="993" w:firstLine="0"/>
        <w:rPr>
          <w:b w:val="0"/>
          <w:color w:val="auto"/>
          <w:sz w:val="22"/>
        </w:rPr>
      </w:pPr>
    </w:p>
    <w:p w:rsidR="00E50188" w:rsidRDefault="00E55A99" w:rsidP="00E6103B">
      <w:pPr>
        <w:pStyle w:val="Subheading"/>
        <w:numPr>
          <w:ilvl w:val="1"/>
          <w:numId w:val="20"/>
        </w:numPr>
        <w:ind w:left="567" w:hanging="567"/>
        <w:rPr>
          <w:color w:val="auto"/>
          <w:sz w:val="22"/>
        </w:rPr>
      </w:pPr>
      <w:r>
        <w:rPr>
          <w:color w:val="auto"/>
          <w:sz w:val="22"/>
        </w:rPr>
        <w:t>Allocations to Staff / R</w:t>
      </w:r>
      <w:r w:rsidR="00E50188" w:rsidRPr="00E55A99">
        <w:rPr>
          <w:color w:val="auto"/>
          <w:sz w:val="22"/>
        </w:rPr>
        <w:t>elatives /</w:t>
      </w:r>
      <w:r w:rsidR="009529EB">
        <w:rPr>
          <w:color w:val="auto"/>
          <w:sz w:val="22"/>
        </w:rPr>
        <w:t xml:space="preserve"> Contractors /</w:t>
      </w:r>
      <w:r w:rsidR="00E50188" w:rsidRPr="00E55A99">
        <w:rPr>
          <w:color w:val="auto"/>
          <w:sz w:val="22"/>
        </w:rPr>
        <w:t xml:space="preserve"> </w:t>
      </w:r>
      <w:r>
        <w:rPr>
          <w:color w:val="auto"/>
          <w:sz w:val="22"/>
        </w:rPr>
        <w:t xml:space="preserve">By virtue of </w:t>
      </w:r>
      <w:r w:rsidR="00E50188" w:rsidRPr="00E55A99">
        <w:rPr>
          <w:color w:val="auto"/>
          <w:sz w:val="22"/>
        </w:rPr>
        <w:t>employment</w:t>
      </w:r>
    </w:p>
    <w:p w:rsidR="00E55A99" w:rsidRDefault="001630B0" w:rsidP="00A736A1">
      <w:pPr>
        <w:pStyle w:val="Subheading"/>
        <w:ind w:firstLine="0"/>
        <w:rPr>
          <w:b w:val="0"/>
          <w:color w:val="auto"/>
          <w:sz w:val="22"/>
        </w:rPr>
      </w:pPr>
      <w:r>
        <w:rPr>
          <w:b w:val="0"/>
          <w:color w:val="auto"/>
          <w:sz w:val="22"/>
        </w:rPr>
        <w:t xml:space="preserve">All applicants are asked to declare any interest they hold </w:t>
      </w:r>
      <w:r w:rsidR="009529EB">
        <w:rPr>
          <w:b w:val="0"/>
          <w:color w:val="auto"/>
          <w:sz w:val="22"/>
        </w:rPr>
        <w:t xml:space="preserve">in </w:t>
      </w:r>
      <w:r w:rsidR="00E55A99">
        <w:rPr>
          <w:b w:val="0"/>
          <w:color w:val="auto"/>
          <w:sz w:val="22"/>
        </w:rPr>
        <w:t>PA Housing</w:t>
      </w:r>
      <w:r w:rsidR="009529EB">
        <w:rPr>
          <w:b w:val="0"/>
          <w:color w:val="auto"/>
          <w:sz w:val="22"/>
        </w:rPr>
        <w:t>. We</w:t>
      </w:r>
      <w:r w:rsidR="00E55A99">
        <w:rPr>
          <w:b w:val="0"/>
          <w:color w:val="auto"/>
          <w:sz w:val="22"/>
        </w:rPr>
        <w:t xml:space="preserve"> may provide accommodation to its board members, employees, former employees and their close relatives provided that;</w:t>
      </w:r>
    </w:p>
    <w:p w:rsidR="00E55A99" w:rsidRDefault="00E55A99" w:rsidP="006A35F7">
      <w:pPr>
        <w:pStyle w:val="Subheading"/>
        <w:numPr>
          <w:ilvl w:val="0"/>
          <w:numId w:val="21"/>
        </w:numPr>
        <w:ind w:left="993" w:hanging="426"/>
        <w:rPr>
          <w:b w:val="0"/>
          <w:color w:val="auto"/>
          <w:sz w:val="22"/>
        </w:rPr>
      </w:pPr>
      <w:r>
        <w:rPr>
          <w:b w:val="0"/>
          <w:color w:val="auto"/>
          <w:sz w:val="22"/>
        </w:rPr>
        <w:t>They are in housing need and meet the allocation criteria</w:t>
      </w:r>
    </w:p>
    <w:p w:rsidR="00E55A99" w:rsidRDefault="00E55A99" w:rsidP="006A35F7">
      <w:pPr>
        <w:pStyle w:val="Subheading"/>
        <w:numPr>
          <w:ilvl w:val="0"/>
          <w:numId w:val="21"/>
        </w:numPr>
        <w:ind w:left="993" w:hanging="426"/>
        <w:rPr>
          <w:b w:val="0"/>
          <w:color w:val="auto"/>
          <w:sz w:val="22"/>
        </w:rPr>
      </w:pPr>
      <w:r>
        <w:rPr>
          <w:b w:val="0"/>
          <w:color w:val="auto"/>
          <w:sz w:val="22"/>
        </w:rPr>
        <w:lastRenderedPageBreak/>
        <w:t>They receive exactly the same consideration as any other applicant</w:t>
      </w:r>
    </w:p>
    <w:p w:rsidR="00E55A99" w:rsidRPr="00E55A99" w:rsidRDefault="00E55A99" w:rsidP="006A35F7">
      <w:pPr>
        <w:pStyle w:val="Subheading"/>
        <w:numPr>
          <w:ilvl w:val="0"/>
          <w:numId w:val="21"/>
        </w:numPr>
        <w:ind w:left="993" w:hanging="426"/>
        <w:rPr>
          <w:b w:val="0"/>
          <w:color w:val="auto"/>
          <w:sz w:val="22"/>
        </w:rPr>
      </w:pPr>
      <w:r>
        <w:rPr>
          <w:b w:val="0"/>
          <w:color w:val="auto"/>
          <w:sz w:val="22"/>
        </w:rPr>
        <w:t>They have no involvement or influence over the allocation decision</w:t>
      </w:r>
    </w:p>
    <w:p w:rsidR="00E50188" w:rsidRDefault="00250F0F" w:rsidP="00A736A1">
      <w:pPr>
        <w:pStyle w:val="Subheading"/>
        <w:ind w:firstLine="0"/>
        <w:rPr>
          <w:b w:val="0"/>
          <w:color w:val="auto"/>
          <w:sz w:val="22"/>
        </w:rPr>
      </w:pPr>
      <w:r>
        <w:rPr>
          <w:b w:val="0"/>
          <w:color w:val="auto"/>
          <w:sz w:val="22"/>
        </w:rPr>
        <w:t>PA Housing will not consider applications from former employees if they have a conviction or pending legal action for alleged criminal activity related in any way to their employment with PA Housing, or to PA Housing’s residents.</w:t>
      </w:r>
    </w:p>
    <w:p w:rsidR="00250F0F" w:rsidRDefault="00250F0F" w:rsidP="00A736A1">
      <w:pPr>
        <w:pStyle w:val="Subheading"/>
        <w:ind w:firstLine="0"/>
        <w:rPr>
          <w:b w:val="0"/>
          <w:color w:val="auto"/>
          <w:sz w:val="22"/>
        </w:rPr>
      </w:pPr>
      <w:r>
        <w:rPr>
          <w:b w:val="0"/>
          <w:color w:val="auto"/>
          <w:sz w:val="22"/>
        </w:rPr>
        <w:t xml:space="preserve">A small number of roles such as some scheme caretakers require employees to occupy PA Housing accommodation as part of their duties. Accommodation shall not be offered with the job unless it is specifically necessary. In such cases PA Housing will deal with this </w:t>
      </w:r>
      <w:r w:rsidR="004D55C5">
        <w:rPr>
          <w:b w:val="0"/>
          <w:color w:val="auto"/>
          <w:sz w:val="22"/>
        </w:rPr>
        <w:t>sole</w:t>
      </w:r>
      <w:r w:rsidR="009D2C4F">
        <w:rPr>
          <w:b w:val="0"/>
          <w:color w:val="auto"/>
          <w:sz w:val="22"/>
        </w:rPr>
        <w:t>ly</w:t>
      </w:r>
      <w:r>
        <w:rPr>
          <w:b w:val="0"/>
          <w:color w:val="auto"/>
          <w:sz w:val="22"/>
        </w:rPr>
        <w:t xml:space="preserve"> through the contract of employment and this is not considered an allocation. Upon leaving employment these employees would only be rehoused if a contractual requirement exists or if they are housed through a nominations process. The accommodation offered would not be in the scheme where they worked.</w:t>
      </w:r>
    </w:p>
    <w:p w:rsidR="00250F0F" w:rsidRDefault="00250F0F" w:rsidP="00A736A1">
      <w:pPr>
        <w:pStyle w:val="Subheading"/>
        <w:ind w:firstLine="0"/>
        <w:rPr>
          <w:b w:val="0"/>
          <w:color w:val="auto"/>
          <w:sz w:val="22"/>
        </w:rPr>
      </w:pPr>
      <w:r>
        <w:rPr>
          <w:b w:val="0"/>
          <w:color w:val="auto"/>
          <w:sz w:val="22"/>
        </w:rPr>
        <w:t xml:space="preserve">If a person is dismissed </w:t>
      </w:r>
      <w:r w:rsidR="00832F17">
        <w:rPr>
          <w:b w:val="0"/>
          <w:color w:val="auto"/>
          <w:sz w:val="22"/>
        </w:rPr>
        <w:t xml:space="preserve">from employment by PA Housing </w:t>
      </w:r>
      <w:r>
        <w:rPr>
          <w:b w:val="0"/>
          <w:color w:val="auto"/>
          <w:sz w:val="22"/>
        </w:rPr>
        <w:t>they will not normally be rehoused.</w:t>
      </w:r>
    </w:p>
    <w:p w:rsidR="00250F0F" w:rsidRPr="005325A0" w:rsidRDefault="009529EB" w:rsidP="00A736A1">
      <w:pPr>
        <w:pStyle w:val="Subheading"/>
        <w:ind w:firstLine="0"/>
        <w:rPr>
          <w:b w:val="0"/>
          <w:color w:val="auto"/>
          <w:sz w:val="22"/>
        </w:rPr>
      </w:pPr>
      <w:r w:rsidRPr="005325A0">
        <w:rPr>
          <w:b w:val="0"/>
          <w:color w:val="auto"/>
          <w:sz w:val="22"/>
        </w:rPr>
        <w:t>Close scrutiny</w:t>
      </w:r>
      <w:r w:rsidR="00250F0F" w:rsidRPr="005325A0">
        <w:rPr>
          <w:b w:val="0"/>
          <w:color w:val="auto"/>
          <w:sz w:val="22"/>
        </w:rPr>
        <w:t xml:space="preserve"> will apply to all potential allocations to employees</w:t>
      </w:r>
      <w:r w:rsidRPr="005325A0">
        <w:rPr>
          <w:b w:val="0"/>
          <w:color w:val="auto"/>
          <w:sz w:val="22"/>
        </w:rPr>
        <w:t xml:space="preserve"> and contractors</w:t>
      </w:r>
      <w:r w:rsidR="00250F0F" w:rsidRPr="005325A0">
        <w:rPr>
          <w:b w:val="0"/>
          <w:color w:val="auto"/>
          <w:sz w:val="22"/>
        </w:rPr>
        <w:t xml:space="preserve"> or their close relatives, and will require </w:t>
      </w:r>
      <w:r w:rsidRPr="005325A0">
        <w:rPr>
          <w:b w:val="0"/>
          <w:color w:val="auto"/>
          <w:sz w:val="22"/>
        </w:rPr>
        <w:t xml:space="preserve">impartial review and </w:t>
      </w:r>
      <w:r w:rsidR="00250F0F" w:rsidRPr="005325A0">
        <w:rPr>
          <w:b w:val="0"/>
          <w:color w:val="auto"/>
          <w:sz w:val="22"/>
        </w:rPr>
        <w:t>Director level approval.</w:t>
      </w:r>
    </w:p>
    <w:p w:rsidR="00250F0F" w:rsidRDefault="00250F0F" w:rsidP="00E50188">
      <w:pPr>
        <w:pStyle w:val="Subheading"/>
        <w:ind w:left="855" w:firstLine="0"/>
        <w:rPr>
          <w:b w:val="0"/>
          <w:color w:val="auto"/>
          <w:sz w:val="22"/>
        </w:rPr>
      </w:pPr>
    </w:p>
    <w:p w:rsidR="006447D2" w:rsidRPr="00E6103B" w:rsidRDefault="006447D2" w:rsidP="00241A6D">
      <w:pPr>
        <w:pStyle w:val="Subheading"/>
        <w:numPr>
          <w:ilvl w:val="0"/>
          <w:numId w:val="20"/>
        </w:numPr>
        <w:ind w:left="567" w:hanging="567"/>
        <w:rPr>
          <w:color w:val="auto"/>
        </w:rPr>
      </w:pPr>
      <w:r w:rsidRPr="00E6103B">
        <w:rPr>
          <w:color w:val="auto"/>
        </w:rPr>
        <w:t xml:space="preserve">Compliance </w:t>
      </w:r>
    </w:p>
    <w:p w:rsidR="00BE069A" w:rsidRPr="00832F17" w:rsidRDefault="00BE069A" w:rsidP="00E6103B">
      <w:pPr>
        <w:pStyle w:val="Subheading"/>
        <w:numPr>
          <w:ilvl w:val="1"/>
          <w:numId w:val="20"/>
        </w:numPr>
        <w:ind w:left="567" w:hanging="567"/>
        <w:rPr>
          <w:color w:val="auto"/>
          <w:sz w:val="22"/>
        </w:rPr>
      </w:pPr>
      <w:r w:rsidRPr="00832F17">
        <w:rPr>
          <w:color w:val="auto"/>
          <w:sz w:val="22"/>
        </w:rPr>
        <w:t>False Information</w:t>
      </w:r>
    </w:p>
    <w:p w:rsidR="00E50188" w:rsidRDefault="00034FD3" w:rsidP="00A736A1">
      <w:pPr>
        <w:pStyle w:val="Subheading"/>
        <w:ind w:firstLine="0"/>
        <w:rPr>
          <w:b w:val="0"/>
          <w:color w:val="auto"/>
          <w:sz w:val="22"/>
        </w:rPr>
      </w:pPr>
      <w:r w:rsidRPr="00034FD3">
        <w:rPr>
          <w:b w:val="0"/>
          <w:color w:val="auto"/>
          <w:sz w:val="22"/>
        </w:rPr>
        <w:t>An application may be cancelled if it found that false o</w:t>
      </w:r>
      <w:r>
        <w:rPr>
          <w:b w:val="0"/>
          <w:color w:val="auto"/>
          <w:sz w:val="22"/>
        </w:rPr>
        <w:t>r mis</w:t>
      </w:r>
      <w:r w:rsidRPr="00034FD3">
        <w:rPr>
          <w:b w:val="0"/>
          <w:color w:val="auto"/>
          <w:sz w:val="22"/>
        </w:rPr>
        <w:t xml:space="preserve">leading information has been given. </w:t>
      </w:r>
      <w:r>
        <w:rPr>
          <w:b w:val="0"/>
          <w:color w:val="auto"/>
          <w:sz w:val="22"/>
        </w:rPr>
        <w:t>If this is identified after the applicant has been granted a tenancy, we may take action for possession of that person’s home</w:t>
      </w:r>
      <w:r w:rsidR="00BE069A">
        <w:rPr>
          <w:b w:val="0"/>
          <w:color w:val="auto"/>
          <w:sz w:val="22"/>
        </w:rPr>
        <w:t xml:space="preserve"> in accordance with legislation</w:t>
      </w:r>
      <w:r>
        <w:rPr>
          <w:b w:val="0"/>
          <w:color w:val="auto"/>
          <w:sz w:val="22"/>
        </w:rPr>
        <w:t>.</w:t>
      </w:r>
    </w:p>
    <w:p w:rsidR="00034FD3" w:rsidRPr="00832F17" w:rsidRDefault="00832F17" w:rsidP="00E6103B">
      <w:pPr>
        <w:pStyle w:val="Subheading"/>
        <w:numPr>
          <w:ilvl w:val="1"/>
          <w:numId w:val="20"/>
        </w:numPr>
        <w:ind w:left="567" w:hanging="567"/>
        <w:rPr>
          <w:color w:val="auto"/>
          <w:sz w:val="22"/>
        </w:rPr>
      </w:pPr>
      <w:r w:rsidRPr="00832F17">
        <w:rPr>
          <w:color w:val="auto"/>
          <w:sz w:val="22"/>
        </w:rPr>
        <w:t>Customer consultation and feedback</w:t>
      </w:r>
    </w:p>
    <w:p w:rsidR="00832F17" w:rsidRPr="00034FD3" w:rsidRDefault="00B26E19" w:rsidP="00A736A1">
      <w:pPr>
        <w:pStyle w:val="Subheading"/>
        <w:ind w:firstLine="0"/>
        <w:rPr>
          <w:b w:val="0"/>
          <w:color w:val="auto"/>
          <w:sz w:val="22"/>
        </w:rPr>
      </w:pPr>
      <w:r>
        <w:rPr>
          <w:b w:val="0"/>
          <w:color w:val="auto"/>
          <w:sz w:val="22"/>
        </w:rPr>
        <w:t xml:space="preserve">PA Housing is committed to involving its customers in developing services and improving Service Delivery. </w:t>
      </w:r>
      <w:r w:rsidR="00832F17">
        <w:rPr>
          <w:b w:val="0"/>
          <w:color w:val="auto"/>
          <w:sz w:val="22"/>
        </w:rPr>
        <w:t>Residents were consulted on whether this policy was clear and easy to understand. Their feedback has been incorporated into this policy.</w:t>
      </w:r>
    </w:p>
    <w:p w:rsidR="00E50188" w:rsidRPr="00832F17" w:rsidRDefault="00E50188" w:rsidP="00E6103B">
      <w:pPr>
        <w:pStyle w:val="Subheading"/>
        <w:numPr>
          <w:ilvl w:val="1"/>
          <w:numId w:val="20"/>
        </w:numPr>
        <w:ind w:left="567" w:hanging="567"/>
        <w:rPr>
          <w:color w:val="auto"/>
          <w:sz w:val="22"/>
        </w:rPr>
      </w:pPr>
      <w:r w:rsidRPr="00832F17">
        <w:rPr>
          <w:color w:val="auto"/>
          <w:sz w:val="22"/>
        </w:rPr>
        <w:t xml:space="preserve">Data Protection </w:t>
      </w:r>
    </w:p>
    <w:p w:rsidR="006A35F7" w:rsidRDefault="006A35F7" w:rsidP="00A736A1">
      <w:pPr>
        <w:pStyle w:val="Subheading"/>
        <w:ind w:firstLine="0"/>
        <w:rPr>
          <w:b w:val="0"/>
          <w:color w:val="auto"/>
          <w:sz w:val="22"/>
        </w:rPr>
      </w:pPr>
      <w:r>
        <w:rPr>
          <w:b w:val="0"/>
          <w:color w:val="auto"/>
          <w:sz w:val="22"/>
        </w:rPr>
        <w:t xml:space="preserve">Under the Data Protection Act 1998 and the Human Rights Act 1998 all personal and sensitive information, however received, will be treated as confidential. PA Housing will only involve other agencies or share information with the </w:t>
      </w:r>
      <w:r w:rsidR="00A736A1">
        <w:rPr>
          <w:b w:val="0"/>
          <w:color w:val="auto"/>
          <w:sz w:val="22"/>
        </w:rPr>
        <w:t>applicants’ permission unless:</w:t>
      </w:r>
    </w:p>
    <w:p w:rsidR="006A35F7" w:rsidRDefault="006A35F7" w:rsidP="006A35F7">
      <w:pPr>
        <w:pStyle w:val="Subheading"/>
        <w:numPr>
          <w:ilvl w:val="0"/>
          <w:numId w:val="22"/>
        </w:numPr>
        <w:ind w:left="993" w:hanging="426"/>
        <w:rPr>
          <w:b w:val="0"/>
          <w:color w:val="auto"/>
          <w:sz w:val="22"/>
        </w:rPr>
      </w:pPr>
      <w:r>
        <w:rPr>
          <w:b w:val="0"/>
          <w:color w:val="auto"/>
          <w:sz w:val="22"/>
        </w:rPr>
        <w:t>The information is necessary for the protection of children</w:t>
      </w:r>
    </w:p>
    <w:p w:rsidR="006A35F7" w:rsidRDefault="006A35F7" w:rsidP="006A35F7">
      <w:pPr>
        <w:pStyle w:val="Subheading"/>
        <w:numPr>
          <w:ilvl w:val="0"/>
          <w:numId w:val="22"/>
        </w:numPr>
        <w:ind w:left="993" w:hanging="426"/>
        <w:rPr>
          <w:b w:val="0"/>
          <w:color w:val="auto"/>
          <w:sz w:val="22"/>
        </w:rPr>
      </w:pPr>
      <w:r>
        <w:rPr>
          <w:b w:val="0"/>
          <w:color w:val="auto"/>
          <w:sz w:val="22"/>
        </w:rPr>
        <w:t>We cannot by law withhold information from the Police that would assist a criminal investigation</w:t>
      </w:r>
    </w:p>
    <w:p w:rsidR="006A35F7" w:rsidRPr="006A35F7" w:rsidRDefault="006A35F7" w:rsidP="006A35F7">
      <w:pPr>
        <w:pStyle w:val="Subheading"/>
        <w:numPr>
          <w:ilvl w:val="0"/>
          <w:numId w:val="22"/>
        </w:numPr>
        <w:ind w:left="993" w:hanging="426"/>
        <w:rPr>
          <w:b w:val="0"/>
          <w:color w:val="auto"/>
          <w:sz w:val="22"/>
        </w:rPr>
      </w:pPr>
      <w:r>
        <w:rPr>
          <w:b w:val="0"/>
          <w:color w:val="auto"/>
          <w:sz w:val="22"/>
        </w:rPr>
        <w:t xml:space="preserve">Where we subscribe to </w:t>
      </w:r>
      <w:r w:rsidR="00D465D0">
        <w:rPr>
          <w:b w:val="0"/>
          <w:color w:val="auto"/>
          <w:sz w:val="22"/>
        </w:rPr>
        <w:t xml:space="preserve">formal </w:t>
      </w:r>
      <w:r>
        <w:rPr>
          <w:b w:val="0"/>
          <w:color w:val="auto"/>
          <w:sz w:val="22"/>
        </w:rPr>
        <w:t>information sharing protocols with other agencies such as the Police</w:t>
      </w:r>
    </w:p>
    <w:p w:rsidR="006447D2" w:rsidRPr="00832F17" w:rsidRDefault="006447D2" w:rsidP="00E6103B">
      <w:pPr>
        <w:pStyle w:val="Subheading"/>
        <w:numPr>
          <w:ilvl w:val="1"/>
          <w:numId w:val="20"/>
        </w:numPr>
        <w:ind w:left="567" w:hanging="567"/>
        <w:rPr>
          <w:color w:val="auto"/>
          <w:sz w:val="22"/>
        </w:rPr>
      </w:pPr>
      <w:r w:rsidRPr="00832F17">
        <w:rPr>
          <w:color w:val="auto"/>
          <w:sz w:val="22"/>
        </w:rPr>
        <w:t>E</w:t>
      </w:r>
      <w:r w:rsidR="00E50188" w:rsidRPr="00832F17">
        <w:rPr>
          <w:color w:val="auto"/>
          <w:sz w:val="22"/>
        </w:rPr>
        <w:t xml:space="preserve">quality </w:t>
      </w:r>
      <w:r w:rsidRPr="00832F17">
        <w:rPr>
          <w:color w:val="auto"/>
          <w:sz w:val="22"/>
        </w:rPr>
        <w:t>&amp;D</w:t>
      </w:r>
      <w:r w:rsidR="00E50188" w:rsidRPr="00832F17">
        <w:rPr>
          <w:color w:val="auto"/>
          <w:sz w:val="22"/>
        </w:rPr>
        <w:t>iversity</w:t>
      </w:r>
      <w:r w:rsidR="00BE069A" w:rsidRPr="00832F17">
        <w:rPr>
          <w:color w:val="auto"/>
          <w:sz w:val="22"/>
        </w:rPr>
        <w:t xml:space="preserve"> </w:t>
      </w:r>
    </w:p>
    <w:p w:rsidR="00BE069A" w:rsidRPr="00BE069A" w:rsidRDefault="00BE069A" w:rsidP="00A736A1">
      <w:pPr>
        <w:pStyle w:val="Subheading"/>
        <w:ind w:firstLine="0"/>
        <w:rPr>
          <w:b w:val="0"/>
          <w:color w:val="auto"/>
          <w:sz w:val="22"/>
        </w:rPr>
      </w:pPr>
      <w:r w:rsidRPr="00BE069A">
        <w:rPr>
          <w:b w:val="0"/>
          <w:color w:val="auto"/>
          <w:sz w:val="22"/>
        </w:rPr>
        <w:t xml:space="preserve">We treat all customers fairly and with respect and will not discriminate against any person on the grounds of disability, gender </w:t>
      </w:r>
      <w:r w:rsidR="00AD5463">
        <w:rPr>
          <w:b w:val="0"/>
          <w:color w:val="auto"/>
          <w:sz w:val="22"/>
        </w:rPr>
        <w:t>reassign</w:t>
      </w:r>
      <w:r w:rsidRPr="00BE069A">
        <w:rPr>
          <w:b w:val="0"/>
          <w:color w:val="auto"/>
          <w:sz w:val="22"/>
        </w:rPr>
        <w:t>ment, pregnancy and maternity, race religion or belief, age sex, sexual orientation, or marriage and civil partnerships.</w:t>
      </w:r>
    </w:p>
    <w:p w:rsidR="00BE069A" w:rsidRDefault="00BE069A" w:rsidP="00A736A1">
      <w:pPr>
        <w:pStyle w:val="Subheading"/>
        <w:ind w:firstLine="0"/>
        <w:rPr>
          <w:b w:val="0"/>
          <w:color w:val="auto"/>
          <w:sz w:val="22"/>
        </w:rPr>
      </w:pPr>
      <w:r w:rsidRPr="00BE069A">
        <w:rPr>
          <w:b w:val="0"/>
          <w:color w:val="auto"/>
          <w:sz w:val="22"/>
        </w:rPr>
        <w:t xml:space="preserve">PA Housing monitors the protected characteristics of applicants to ensure that this policy is applied fairly and consistently. We review allocations data annually in comparison </w:t>
      </w:r>
      <w:r>
        <w:rPr>
          <w:b w:val="0"/>
          <w:color w:val="auto"/>
          <w:sz w:val="22"/>
        </w:rPr>
        <w:t xml:space="preserve">with statistics from local authority housing registers </w:t>
      </w:r>
      <w:r w:rsidR="00AD5463">
        <w:rPr>
          <w:b w:val="0"/>
          <w:color w:val="auto"/>
          <w:sz w:val="22"/>
        </w:rPr>
        <w:t>to promote equal opportunities and tackle social exclusion.</w:t>
      </w:r>
    </w:p>
    <w:p w:rsidR="00AD5463" w:rsidRPr="00BE069A" w:rsidRDefault="00AD5463" w:rsidP="00A736A1">
      <w:pPr>
        <w:pStyle w:val="Subheading"/>
        <w:ind w:firstLine="0"/>
        <w:rPr>
          <w:b w:val="0"/>
          <w:color w:val="auto"/>
          <w:sz w:val="22"/>
        </w:rPr>
      </w:pPr>
      <w:r>
        <w:rPr>
          <w:b w:val="0"/>
          <w:color w:val="auto"/>
          <w:sz w:val="22"/>
        </w:rPr>
        <w:t>This policy has undergone an equality analysis to ensure that no applicant is disadvantaged as a result.</w:t>
      </w:r>
    </w:p>
    <w:p w:rsidR="00E50188" w:rsidRPr="00C3224D" w:rsidRDefault="00E50188" w:rsidP="00E50188">
      <w:pPr>
        <w:pStyle w:val="Subheading"/>
        <w:ind w:left="930" w:firstLine="0"/>
        <w:rPr>
          <w:b w:val="0"/>
          <w:color w:val="auto"/>
          <w:sz w:val="22"/>
        </w:rPr>
      </w:pPr>
    </w:p>
    <w:p w:rsidR="00E50188" w:rsidRPr="00E6103B" w:rsidRDefault="00E50188" w:rsidP="00241A6D">
      <w:pPr>
        <w:pStyle w:val="Subheading"/>
        <w:numPr>
          <w:ilvl w:val="0"/>
          <w:numId w:val="20"/>
        </w:numPr>
        <w:ind w:left="567" w:hanging="567"/>
        <w:rPr>
          <w:color w:val="auto"/>
        </w:rPr>
      </w:pPr>
      <w:r w:rsidRPr="00E6103B">
        <w:rPr>
          <w:color w:val="auto"/>
        </w:rPr>
        <w:lastRenderedPageBreak/>
        <w:t>Training</w:t>
      </w:r>
    </w:p>
    <w:p w:rsidR="00A13142" w:rsidRPr="00A736A1" w:rsidRDefault="00A13142" w:rsidP="00A13142">
      <w:pPr>
        <w:pStyle w:val="Subheading"/>
        <w:ind w:firstLine="0"/>
        <w:rPr>
          <w:b w:val="0"/>
          <w:color w:val="auto"/>
          <w:sz w:val="22"/>
        </w:rPr>
      </w:pPr>
      <w:r w:rsidRPr="00A736A1">
        <w:rPr>
          <w:b w:val="0"/>
          <w:color w:val="auto"/>
          <w:sz w:val="22"/>
        </w:rPr>
        <w:t>PA Housing will carry out induction and refresher training for all relevant staff to make sure that they are aware of our policy. All managers will receive specific training to provide the skills and knowledge to comply with our policy and associated procedures.</w:t>
      </w:r>
    </w:p>
    <w:p w:rsidR="00A13142" w:rsidRPr="00E6103B" w:rsidRDefault="00A13142" w:rsidP="00A13142">
      <w:pPr>
        <w:pStyle w:val="Subheading"/>
        <w:ind w:firstLine="0"/>
        <w:rPr>
          <w:b w:val="0"/>
          <w:color w:val="auto"/>
        </w:rPr>
      </w:pPr>
    </w:p>
    <w:p w:rsidR="00E50188" w:rsidRPr="00E6103B" w:rsidRDefault="00E50188" w:rsidP="00241A6D">
      <w:pPr>
        <w:pStyle w:val="Subheading"/>
        <w:numPr>
          <w:ilvl w:val="0"/>
          <w:numId w:val="20"/>
        </w:numPr>
        <w:ind w:left="567" w:hanging="567"/>
        <w:rPr>
          <w:color w:val="auto"/>
        </w:rPr>
      </w:pPr>
      <w:r w:rsidRPr="00E6103B">
        <w:rPr>
          <w:color w:val="auto"/>
        </w:rPr>
        <w:t>Monitoring and Reporting</w:t>
      </w:r>
    </w:p>
    <w:p w:rsidR="00C3224D" w:rsidRPr="00A736A1" w:rsidRDefault="00C3224D" w:rsidP="00C3224D">
      <w:pPr>
        <w:pStyle w:val="Subheading"/>
        <w:ind w:firstLine="0"/>
        <w:rPr>
          <w:b w:val="0"/>
          <w:color w:val="auto"/>
          <w:sz w:val="22"/>
        </w:rPr>
      </w:pPr>
      <w:r w:rsidRPr="00A736A1">
        <w:rPr>
          <w:b w:val="0"/>
          <w:color w:val="auto"/>
          <w:sz w:val="22"/>
        </w:rPr>
        <w:t xml:space="preserve">Monitoring of performance and customer satisfaction is </w:t>
      </w:r>
      <w:proofErr w:type="gramStart"/>
      <w:r w:rsidRPr="00A736A1">
        <w:rPr>
          <w:b w:val="0"/>
          <w:color w:val="auto"/>
          <w:sz w:val="22"/>
        </w:rPr>
        <w:t>key</w:t>
      </w:r>
      <w:proofErr w:type="gramEnd"/>
      <w:r w:rsidRPr="00A736A1">
        <w:rPr>
          <w:b w:val="0"/>
          <w:color w:val="auto"/>
          <w:sz w:val="22"/>
        </w:rPr>
        <w:t xml:space="preserve"> to ensuring that we achieve our objectives covered by this policy. We use a variety of methods to do so, including but not limited to;</w:t>
      </w:r>
    </w:p>
    <w:p w:rsidR="00C3224D" w:rsidRPr="00A736A1" w:rsidRDefault="00C3224D" w:rsidP="00C3224D">
      <w:pPr>
        <w:pStyle w:val="Subheading"/>
        <w:numPr>
          <w:ilvl w:val="0"/>
          <w:numId w:val="23"/>
        </w:numPr>
        <w:ind w:left="993" w:hanging="426"/>
        <w:rPr>
          <w:b w:val="0"/>
          <w:color w:val="auto"/>
          <w:sz w:val="22"/>
        </w:rPr>
      </w:pPr>
      <w:r w:rsidRPr="00A736A1">
        <w:rPr>
          <w:b w:val="0"/>
          <w:color w:val="auto"/>
          <w:sz w:val="22"/>
        </w:rPr>
        <w:t>Performance reports</w:t>
      </w:r>
    </w:p>
    <w:p w:rsidR="00C3224D" w:rsidRPr="00A736A1" w:rsidRDefault="00C3224D" w:rsidP="00C3224D">
      <w:pPr>
        <w:pStyle w:val="Subheading"/>
        <w:numPr>
          <w:ilvl w:val="0"/>
          <w:numId w:val="23"/>
        </w:numPr>
        <w:ind w:left="993" w:hanging="426"/>
        <w:rPr>
          <w:b w:val="0"/>
          <w:color w:val="auto"/>
          <w:sz w:val="22"/>
        </w:rPr>
      </w:pPr>
      <w:r w:rsidRPr="00A736A1">
        <w:rPr>
          <w:b w:val="0"/>
          <w:color w:val="auto"/>
          <w:sz w:val="22"/>
        </w:rPr>
        <w:t>Customer profiling</w:t>
      </w:r>
    </w:p>
    <w:p w:rsidR="00C3224D" w:rsidRPr="00A736A1" w:rsidRDefault="00C3224D" w:rsidP="00C3224D">
      <w:pPr>
        <w:pStyle w:val="Subheading"/>
        <w:numPr>
          <w:ilvl w:val="0"/>
          <w:numId w:val="23"/>
        </w:numPr>
        <w:ind w:left="993" w:hanging="426"/>
        <w:rPr>
          <w:b w:val="0"/>
          <w:color w:val="auto"/>
          <w:sz w:val="22"/>
        </w:rPr>
      </w:pPr>
      <w:r w:rsidRPr="00A736A1">
        <w:rPr>
          <w:b w:val="0"/>
          <w:color w:val="auto"/>
          <w:sz w:val="22"/>
        </w:rPr>
        <w:t>Regular reviews with local authorities of strategy and performance</w:t>
      </w:r>
    </w:p>
    <w:p w:rsidR="00C3224D" w:rsidRPr="00A736A1" w:rsidRDefault="00C3224D" w:rsidP="00C3224D">
      <w:pPr>
        <w:pStyle w:val="Subheading"/>
        <w:numPr>
          <w:ilvl w:val="0"/>
          <w:numId w:val="23"/>
        </w:numPr>
        <w:ind w:left="993" w:hanging="426"/>
        <w:rPr>
          <w:b w:val="0"/>
          <w:color w:val="auto"/>
          <w:sz w:val="22"/>
        </w:rPr>
      </w:pPr>
      <w:r w:rsidRPr="00A736A1">
        <w:rPr>
          <w:b w:val="0"/>
          <w:color w:val="auto"/>
          <w:sz w:val="22"/>
        </w:rPr>
        <w:t>Benchmarking against other Registered Providers</w:t>
      </w:r>
    </w:p>
    <w:p w:rsidR="00C3224D" w:rsidRPr="00A736A1" w:rsidRDefault="00C3224D" w:rsidP="005D3EB1">
      <w:pPr>
        <w:pStyle w:val="Subheading"/>
        <w:numPr>
          <w:ilvl w:val="0"/>
          <w:numId w:val="23"/>
        </w:numPr>
        <w:ind w:left="993" w:hanging="426"/>
        <w:rPr>
          <w:b w:val="0"/>
          <w:color w:val="auto"/>
          <w:sz w:val="22"/>
        </w:rPr>
      </w:pPr>
      <w:r w:rsidRPr="00A736A1">
        <w:rPr>
          <w:b w:val="0"/>
          <w:color w:val="auto"/>
          <w:sz w:val="22"/>
        </w:rPr>
        <w:t xml:space="preserve">Internal audit </w:t>
      </w:r>
    </w:p>
    <w:p w:rsidR="00C3224D" w:rsidRPr="00A736A1" w:rsidRDefault="00C3224D" w:rsidP="005D3EB1">
      <w:pPr>
        <w:pStyle w:val="Subheading"/>
        <w:numPr>
          <w:ilvl w:val="0"/>
          <w:numId w:val="23"/>
        </w:numPr>
        <w:ind w:left="993" w:hanging="426"/>
        <w:rPr>
          <w:b w:val="0"/>
          <w:color w:val="auto"/>
          <w:sz w:val="22"/>
        </w:rPr>
      </w:pPr>
      <w:r w:rsidRPr="00A736A1">
        <w:rPr>
          <w:b w:val="0"/>
          <w:color w:val="auto"/>
          <w:sz w:val="22"/>
        </w:rPr>
        <w:t>Resident scrutiny and satisfaction surveys</w:t>
      </w:r>
    </w:p>
    <w:p w:rsidR="00A13142" w:rsidRPr="00A736A1" w:rsidRDefault="00A13142" w:rsidP="005D3EB1">
      <w:pPr>
        <w:pStyle w:val="Subheading"/>
        <w:numPr>
          <w:ilvl w:val="0"/>
          <w:numId w:val="23"/>
        </w:numPr>
        <w:ind w:left="993" w:hanging="426"/>
        <w:rPr>
          <w:b w:val="0"/>
          <w:color w:val="auto"/>
          <w:sz w:val="22"/>
        </w:rPr>
      </w:pPr>
      <w:r w:rsidRPr="00A736A1">
        <w:rPr>
          <w:b w:val="0"/>
          <w:color w:val="auto"/>
          <w:sz w:val="22"/>
        </w:rPr>
        <w:t>Annual report to residents and Board</w:t>
      </w:r>
    </w:p>
    <w:p w:rsidR="00A13142" w:rsidRPr="00C3224D" w:rsidRDefault="00A13142" w:rsidP="00A13142">
      <w:pPr>
        <w:pStyle w:val="Subheading"/>
        <w:ind w:left="993" w:firstLine="0"/>
        <w:rPr>
          <w:b w:val="0"/>
          <w:color w:val="auto"/>
        </w:rPr>
      </w:pPr>
    </w:p>
    <w:p w:rsidR="00E50188" w:rsidRDefault="00D539CF" w:rsidP="00241A6D">
      <w:pPr>
        <w:pStyle w:val="Subheading"/>
        <w:numPr>
          <w:ilvl w:val="0"/>
          <w:numId w:val="20"/>
        </w:numPr>
        <w:ind w:left="567" w:hanging="567"/>
        <w:rPr>
          <w:color w:val="auto"/>
        </w:rPr>
      </w:pPr>
      <w:r w:rsidRPr="00E6103B">
        <w:rPr>
          <w:color w:val="auto"/>
        </w:rPr>
        <w:t xml:space="preserve">Relevant </w:t>
      </w:r>
      <w:r w:rsidR="00E50188" w:rsidRPr="00E6103B">
        <w:rPr>
          <w:color w:val="auto"/>
        </w:rPr>
        <w:t>Legis</w:t>
      </w:r>
      <w:r w:rsidRPr="00E6103B">
        <w:rPr>
          <w:color w:val="auto"/>
        </w:rPr>
        <w:t>lation</w:t>
      </w:r>
      <w:r>
        <w:rPr>
          <w:color w:val="auto"/>
        </w:rPr>
        <w:t xml:space="preserve"> (including but not limited </w:t>
      </w:r>
      <w:proofErr w:type="gramStart"/>
      <w:r>
        <w:rPr>
          <w:color w:val="auto"/>
        </w:rPr>
        <w:t>to;</w:t>
      </w:r>
      <w:proofErr w:type="gramEnd"/>
      <w:r>
        <w:rPr>
          <w:color w:val="auto"/>
        </w:rPr>
        <w:t>)</w:t>
      </w:r>
    </w:p>
    <w:p w:rsidR="00A13142" w:rsidRPr="00A736A1" w:rsidRDefault="00D539CF" w:rsidP="005D3EB1">
      <w:pPr>
        <w:pStyle w:val="Subheading"/>
        <w:numPr>
          <w:ilvl w:val="0"/>
          <w:numId w:val="24"/>
        </w:numPr>
        <w:ind w:left="993" w:hanging="426"/>
        <w:rPr>
          <w:b w:val="0"/>
          <w:color w:val="auto"/>
          <w:sz w:val="22"/>
        </w:rPr>
      </w:pPr>
      <w:r w:rsidRPr="00A736A1">
        <w:rPr>
          <w:b w:val="0"/>
          <w:color w:val="auto"/>
          <w:sz w:val="22"/>
        </w:rPr>
        <w:t>Housing Acts 1988 and 1996</w:t>
      </w:r>
    </w:p>
    <w:p w:rsidR="00D539CF" w:rsidRPr="00A736A1" w:rsidRDefault="00D539CF" w:rsidP="005D3EB1">
      <w:pPr>
        <w:pStyle w:val="Subheading"/>
        <w:numPr>
          <w:ilvl w:val="0"/>
          <w:numId w:val="24"/>
        </w:numPr>
        <w:ind w:left="993" w:hanging="426"/>
        <w:rPr>
          <w:b w:val="0"/>
          <w:color w:val="auto"/>
          <w:sz w:val="22"/>
        </w:rPr>
      </w:pPr>
      <w:r w:rsidRPr="00A736A1">
        <w:rPr>
          <w:b w:val="0"/>
          <w:color w:val="auto"/>
          <w:sz w:val="22"/>
        </w:rPr>
        <w:t>Welfare Reform Act 2012</w:t>
      </w:r>
    </w:p>
    <w:p w:rsidR="00D539CF" w:rsidRPr="00A736A1" w:rsidRDefault="00D539CF" w:rsidP="005D3EB1">
      <w:pPr>
        <w:pStyle w:val="Subheading"/>
        <w:numPr>
          <w:ilvl w:val="0"/>
          <w:numId w:val="24"/>
        </w:numPr>
        <w:ind w:left="993" w:hanging="426"/>
        <w:rPr>
          <w:b w:val="0"/>
          <w:color w:val="auto"/>
          <w:sz w:val="22"/>
        </w:rPr>
      </w:pPr>
      <w:r w:rsidRPr="00A736A1">
        <w:rPr>
          <w:b w:val="0"/>
          <w:color w:val="auto"/>
          <w:sz w:val="22"/>
        </w:rPr>
        <w:t>Localism Act 2012</w:t>
      </w:r>
    </w:p>
    <w:p w:rsidR="00D539CF" w:rsidRPr="00A736A1" w:rsidRDefault="00D539CF" w:rsidP="005D3EB1">
      <w:pPr>
        <w:pStyle w:val="Subheading"/>
        <w:numPr>
          <w:ilvl w:val="0"/>
          <w:numId w:val="24"/>
        </w:numPr>
        <w:ind w:left="993" w:hanging="426"/>
        <w:rPr>
          <w:b w:val="0"/>
          <w:color w:val="auto"/>
          <w:sz w:val="22"/>
        </w:rPr>
      </w:pPr>
      <w:r w:rsidRPr="00A736A1">
        <w:rPr>
          <w:b w:val="0"/>
          <w:color w:val="auto"/>
          <w:sz w:val="22"/>
        </w:rPr>
        <w:t>Housing and Planning Act 2016</w:t>
      </w:r>
    </w:p>
    <w:p w:rsidR="00D539CF" w:rsidRPr="00A736A1" w:rsidRDefault="00D539CF" w:rsidP="005D3EB1">
      <w:pPr>
        <w:pStyle w:val="Subheading"/>
        <w:numPr>
          <w:ilvl w:val="0"/>
          <w:numId w:val="24"/>
        </w:numPr>
        <w:ind w:left="993" w:hanging="426"/>
        <w:rPr>
          <w:b w:val="0"/>
          <w:color w:val="auto"/>
          <w:sz w:val="22"/>
        </w:rPr>
      </w:pPr>
      <w:r w:rsidRPr="00A736A1">
        <w:rPr>
          <w:b w:val="0"/>
          <w:color w:val="auto"/>
          <w:sz w:val="22"/>
        </w:rPr>
        <w:t>Data Protection Act 1998</w:t>
      </w:r>
    </w:p>
    <w:p w:rsidR="005D3EB1" w:rsidRPr="00A736A1" w:rsidRDefault="005D3EB1" w:rsidP="005D3EB1">
      <w:pPr>
        <w:pStyle w:val="Subheading"/>
        <w:numPr>
          <w:ilvl w:val="0"/>
          <w:numId w:val="24"/>
        </w:numPr>
        <w:ind w:left="993" w:hanging="426"/>
        <w:rPr>
          <w:b w:val="0"/>
          <w:color w:val="auto"/>
          <w:sz w:val="22"/>
        </w:rPr>
      </w:pPr>
      <w:r w:rsidRPr="00A736A1">
        <w:rPr>
          <w:b w:val="0"/>
          <w:color w:val="auto"/>
          <w:sz w:val="22"/>
        </w:rPr>
        <w:t>Equality Act 2010</w:t>
      </w:r>
    </w:p>
    <w:p w:rsidR="005D3EB1" w:rsidRPr="00A736A1" w:rsidRDefault="005D3EB1" w:rsidP="005D3EB1">
      <w:pPr>
        <w:pStyle w:val="Subheading"/>
        <w:numPr>
          <w:ilvl w:val="0"/>
          <w:numId w:val="24"/>
        </w:numPr>
        <w:ind w:left="993" w:hanging="426"/>
        <w:rPr>
          <w:b w:val="0"/>
          <w:color w:val="auto"/>
          <w:sz w:val="22"/>
        </w:rPr>
      </w:pPr>
      <w:r w:rsidRPr="00A736A1">
        <w:rPr>
          <w:b w:val="0"/>
          <w:color w:val="auto"/>
          <w:sz w:val="22"/>
        </w:rPr>
        <w:t>Housing and Regeneration Act 2008</w:t>
      </w:r>
    </w:p>
    <w:p w:rsidR="005D3EB1" w:rsidRPr="00A736A1" w:rsidRDefault="005D3EB1" w:rsidP="005D3EB1">
      <w:pPr>
        <w:pStyle w:val="Subheading"/>
        <w:numPr>
          <w:ilvl w:val="0"/>
          <w:numId w:val="24"/>
        </w:numPr>
        <w:ind w:left="993" w:hanging="426"/>
        <w:rPr>
          <w:b w:val="0"/>
          <w:color w:val="auto"/>
          <w:sz w:val="22"/>
        </w:rPr>
      </w:pPr>
      <w:r w:rsidRPr="00A736A1">
        <w:rPr>
          <w:b w:val="0"/>
          <w:color w:val="auto"/>
          <w:sz w:val="22"/>
        </w:rPr>
        <w:t>Immigration (Residential Accommodation) (Prescribed Requirements &amp; codes of practice) (Amendment) Order 2016</w:t>
      </w:r>
    </w:p>
    <w:p w:rsidR="00D539CF" w:rsidRPr="00D539CF" w:rsidRDefault="00D539CF" w:rsidP="00A13142">
      <w:pPr>
        <w:pStyle w:val="Subheading"/>
        <w:ind w:firstLine="0"/>
        <w:rPr>
          <w:b w:val="0"/>
          <w:color w:val="auto"/>
        </w:rPr>
      </w:pPr>
    </w:p>
    <w:p w:rsidR="00E50188" w:rsidRPr="00E6103B" w:rsidRDefault="00E50188" w:rsidP="00241A6D">
      <w:pPr>
        <w:pStyle w:val="Subheading"/>
        <w:numPr>
          <w:ilvl w:val="0"/>
          <w:numId w:val="20"/>
        </w:numPr>
        <w:ind w:left="567" w:hanging="567"/>
      </w:pPr>
      <w:r w:rsidRPr="00E6103B">
        <w:t>Linked Policies</w:t>
      </w:r>
    </w:p>
    <w:p w:rsidR="00E50188" w:rsidRPr="00A736A1" w:rsidRDefault="00F92272" w:rsidP="00E50188">
      <w:pPr>
        <w:pStyle w:val="Subheading"/>
        <w:ind w:left="855" w:firstLine="0"/>
        <w:rPr>
          <w:b w:val="0"/>
          <w:sz w:val="22"/>
        </w:rPr>
      </w:pPr>
      <w:r w:rsidRPr="00A736A1">
        <w:rPr>
          <w:b w:val="0"/>
          <w:sz w:val="22"/>
        </w:rPr>
        <w:t>Tenure policy</w:t>
      </w:r>
    </w:p>
    <w:p w:rsidR="00F92272" w:rsidRPr="00A736A1" w:rsidRDefault="00F92272" w:rsidP="00E50188">
      <w:pPr>
        <w:pStyle w:val="Subheading"/>
        <w:ind w:left="855" w:firstLine="0"/>
        <w:rPr>
          <w:b w:val="0"/>
          <w:sz w:val="22"/>
        </w:rPr>
      </w:pPr>
      <w:r w:rsidRPr="00A736A1">
        <w:rPr>
          <w:b w:val="0"/>
          <w:sz w:val="22"/>
        </w:rPr>
        <w:t>Mutual Exchange policy</w:t>
      </w:r>
    </w:p>
    <w:p w:rsidR="00F92272" w:rsidRPr="00A736A1" w:rsidRDefault="00902FA6" w:rsidP="00E50188">
      <w:pPr>
        <w:pStyle w:val="Subheading"/>
        <w:ind w:left="855" w:firstLine="0"/>
        <w:rPr>
          <w:b w:val="0"/>
          <w:sz w:val="22"/>
        </w:rPr>
      </w:pPr>
      <w:r w:rsidRPr="00A736A1">
        <w:rPr>
          <w:b w:val="0"/>
          <w:sz w:val="22"/>
        </w:rPr>
        <w:t xml:space="preserve">Decant policy </w:t>
      </w:r>
    </w:p>
    <w:p w:rsidR="00250F0F" w:rsidRPr="00A736A1" w:rsidRDefault="00250F0F" w:rsidP="00E50188">
      <w:pPr>
        <w:pStyle w:val="Subheading"/>
        <w:ind w:left="855" w:firstLine="0"/>
        <w:rPr>
          <w:b w:val="0"/>
          <w:sz w:val="22"/>
        </w:rPr>
      </w:pPr>
      <w:r w:rsidRPr="00A736A1">
        <w:rPr>
          <w:b w:val="0"/>
          <w:sz w:val="22"/>
        </w:rPr>
        <w:t>Integrity and Bribery policy</w:t>
      </w:r>
    </w:p>
    <w:p w:rsidR="004946C3" w:rsidRDefault="004946C3">
      <w:pPr>
        <w:rPr>
          <w:rFonts w:eastAsia="Times New Roman" w:cs="Arial"/>
          <w:b/>
          <w:bCs/>
          <w:color w:val="000000"/>
          <w:sz w:val="24"/>
          <w:szCs w:val="24"/>
          <w:lang w:val="en-US" w:eastAsia="en-GB"/>
        </w:rPr>
      </w:pPr>
      <w:r>
        <w:br w:type="page"/>
      </w:r>
    </w:p>
    <w:p w:rsidR="002E73AB" w:rsidRDefault="00552D63" w:rsidP="00E6103B">
      <w:pPr>
        <w:pStyle w:val="Subheading"/>
        <w:ind w:left="0" w:firstLine="0"/>
      </w:pPr>
      <w:bookmarkStart w:id="0" w:name="_GoBack"/>
      <w:bookmarkEnd w:id="0"/>
      <w:r>
        <w:lastRenderedPageBreak/>
        <w:t>Appendix 1 -</w:t>
      </w:r>
      <w:r w:rsidR="002E73AB">
        <w:t xml:space="preserve"> Boroughs / Districts and Sub-regional divisions</w:t>
      </w:r>
    </w:p>
    <w:p w:rsidR="002E73AB" w:rsidRDefault="002E73AB" w:rsidP="00E50188">
      <w:pPr>
        <w:pStyle w:val="Subheading"/>
        <w:ind w:left="855" w:firstLine="0"/>
      </w:pPr>
    </w:p>
    <w:tbl>
      <w:tblPr>
        <w:tblStyle w:val="TableGrid"/>
        <w:tblW w:w="0" w:type="auto"/>
        <w:tblInd w:w="-34" w:type="dxa"/>
        <w:tblLook w:val="04A0" w:firstRow="1" w:lastRow="0" w:firstColumn="1" w:lastColumn="0" w:noHBand="0" w:noVBand="1"/>
      </w:tblPr>
      <w:tblGrid>
        <w:gridCol w:w="3024"/>
        <w:gridCol w:w="3024"/>
        <w:gridCol w:w="3025"/>
      </w:tblGrid>
      <w:tr w:rsidR="002E73AB" w:rsidTr="002E73AB">
        <w:tc>
          <w:tcPr>
            <w:tcW w:w="3024" w:type="dxa"/>
          </w:tcPr>
          <w:p w:rsidR="002E73AB" w:rsidRDefault="002E73AB" w:rsidP="00B44B6B">
            <w:pPr>
              <w:pStyle w:val="Subheading"/>
              <w:ind w:left="0" w:firstLine="0"/>
              <w:rPr>
                <w:rFonts w:eastAsia="Arial"/>
                <w:b w:val="0"/>
                <w:sz w:val="22"/>
                <w:szCs w:val="22"/>
              </w:rPr>
            </w:pPr>
            <w:r>
              <w:rPr>
                <w:rFonts w:eastAsia="Arial"/>
                <w:b w:val="0"/>
                <w:sz w:val="22"/>
                <w:szCs w:val="22"/>
              </w:rPr>
              <w:t>‘The Midlands’</w:t>
            </w:r>
          </w:p>
        </w:tc>
        <w:tc>
          <w:tcPr>
            <w:tcW w:w="3024" w:type="dxa"/>
          </w:tcPr>
          <w:p w:rsidR="002E73AB" w:rsidRDefault="002E73AB" w:rsidP="00B44B6B">
            <w:pPr>
              <w:pStyle w:val="Subheading"/>
              <w:ind w:left="0" w:firstLine="0"/>
              <w:rPr>
                <w:rFonts w:eastAsia="Arial"/>
                <w:b w:val="0"/>
                <w:sz w:val="22"/>
                <w:szCs w:val="22"/>
              </w:rPr>
            </w:pPr>
            <w:r>
              <w:rPr>
                <w:rFonts w:eastAsia="Arial"/>
                <w:b w:val="0"/>
                <w:sz w:val="22"/>
                <w:szCs w:val="22"/>
              </w:rPr>
              <w:t>‘London’</w:t>
            </w:r>
          </w:p>
        </w:tc>
        <w:tc>
          <w:tcPr>
            <w:tcW w:w="3025" w:type="dxa"/>
          </w:tcPr>
          <w:p w:rsidR="002E73AB" w:rsidRDefault="002E73AB" w:rsidP="00B44B6B">
            <w:pPr>
              <w:pStyle w:val="Subheading"/>
              <w:ind w:left="0" w:firstLine="0"/>
              <w:rPr>
                <w:rFonts w:eastAsia="Arial"/>
                <w:b w:val="0"/>
                <w:sz w:val="22"/>
                <w:szCs w:val="22"/>
              </w:rPr>
            </w:pPr>
            <w:r>
              <w:rPr>
                <w:rFonts w:eastAsia="Arial"/>
                <w:b w:val="0"/>
                <w:sz w:val="22"/>
                <w:szCs w:val="22"/>
              </w:rPr>
              <w:t>‘The South East’</w:t>
            </w:r>
          </w:p>
        </w:tc>
      </w:tr>
      <w:tr w:rsidR="002E73AB" w:rsidTr="002E73AB">
        <w:trPr>
          <w:trHeight w:val="12466"/>
        </w:trPr>
        <w:tc>
          <w:tcPr>
            <w:tcW w:w="3024" w:type="dxa"/>
          </w:tcPr>
          <w:p w:rsidR="002E73AB" w:rsidRPr="00BF3D0D" w:rsidRDefault="002E73AB" w:rsidP="00B44B6B">
            <w:pPr>
              <w:pStyle w:val="Subheading"/>
              <w:ind w:left="0" w:firstLine="0"/>
              <w:rPr>
                <w:rFonts w:eastAsia="Arial"/>
                <w:b w:val="0"/>
                <w:sz w:val="20"/>
                <w:szCs w:val="22"/>
              </w:rPr>
            </w:pPr>
            <w:proofErr w:type="spellStart"/>
            <w:r w:rsidRPr="00BF3D0D">
              <w:rPr>
                <w:rFonts w:eastAsia="Arial"/>
                <w:b w:val="0"/>
                <w:sz w:val="20"/>
                <w:szCs w:val="22"/>
              </w:rPr>
              <w:t>Ashfield</w:t>
            </w:r>
            <w:proofErr w:type="spellEnd"/>
            <w:r w:rsidRPr="00BF3D0D">
              <w:rPr>
                <w:rFonts w:eastAsia="Arial"/>
                <w:b w:val="0"/>
                <w:sz w:val="20"/>
                <w:szCs w:val="22"/>
              </w:rPr>
              <w:t xml:space="preserve"> District Council</w:t>
            </w:r>
          </w:p>
          <w:p w:rsidR="002E73AB" w:rsidRPr="00BF3D0D" w:rsidRDefault="002E73AB" w:rsidP="00B44B6B">
            <w:pPr>
              <w:pStyle w:val="Subheading"/>
              <w:ind w:left="0" w:firstLine="0"/>
              <w:rPr>
                <w:rFonts w:eastAsia="Arial"/>
                <w:b w:val="0"/>
                <w:sz w:val="20"/>
                <w:szCs w:val="22"/>
              </w:rPr>
            </w:pPr>
            <w:proofErr w:type="spellStart"/>
            <w:r w:rsidRPr="00BF3D0D">
              <w:rPr>
                <w:rFonts w:eastAsia="Arial"/>
                <w:b w:val="0"/>
                <w:sz w:val="20"/>
                <w:szCs w:val="22"/>
              </w:rPr>
              <w:t>Bassettlaw</w:t>
            </w:r>
            <w:proofErr w:type="spellEnd"/>
            <w:r w:rsidRPr="00BF3D0D">
              <w:rPr>
                <w:rFonts w:eastAsia="Arial"/>
                <w:b w:val="0"/>
                <w:sz w:val="20"/>
                <w:szCs w:val="22"/>
              </w:rPr>
              <w:t xml:space="preserve"> District Council</w:t>
            </w:r>
          </w:p>
          <w:p w:rsidR="002E73AB" w:rsidRPr="00BF3D0D" w:rsidRDefault="002E73AB" w:rsidP="00B44B6B">
            <w:pPr>
              <w:pStyle w:val="Subheading"/>
              <w:ind w:left="0" w:firstLine="0"/>
              <w:rPr>
                <w:rFonts w:eastAsia="Arial"/>
                <w:b w:val="0"/>
                <w:sz w:val="20"/>
                <w:szCs w:val="22"/>
              </w:rPr>
            </w:pPr>
            <w:proofErr w:type="spellStart"/>
            <w:r w:rsidRPr="00BF3D0D">
              <w:rPr>
                <w:rFonts w:eastAsia="Arial"/>
                <w:b w:val="0"/>
                <w:sz w:val="20"/>
                <w:szCs w:val="22"/>
              </w:rPr>
              <w:t>Blaby</w:t>
            </w:r>
            <w:proofErr w:type="spellEnd"/>
            <w:r w:rsidRPr="00BF3D0D">
              <w:rPr>
                <w:rFonts w:eastAsia="Arial"/>
                <w:b w:val="0"/>
                <w:sz w:val="20"/>
                <w:szCs w:val="22"/>
              </w:rPr>
              <w:t xml:space="preserve"> District Council</w:t>
            </w:r>
          </w:p>
          <w:p w:rsidR="002E73AB" w:rsidRPr="00BF3D0D" w:rsidRDefault="002E73AB" w:rsidP="00B44B6B">
            <w:pPr>
              <w:pStyle w:val="Subheading"/>
              <w:ind w:left="0" w:firstLine="0"/>
              <w:rPr>
                <w:rFonts w:eastAsia="Arial"/>
                <w:b w:val="0"/>
                <w:sz w:val="20"/>
                <w:szCs w:val="22"/>
              </w:rPr>
            </w:pPr>
            <w:r w:rsidRPr="00BF3D0D">
              <w:rPr>
                <w:rFonts w:eastAsia="Arial"/>
                <w:b w:val="0"/>
                <w:sz w:val="20"/>
                <w:szCs w:val="22"/>
              </w:rPr>
              <w:t>Bolsover District Council</w:t>
            </w:r>
          </w:p>
          <w:p w:rsidR="002E73AB" w:rsidRPr="00BF3D0D" w:rsidRDefault="002E73AB" w:rsidP="00B44B6B">
            <w:pPr>
              <w:pStyle w:val="Subheading"/>
              <w:ind w:left="0" w:firstLine="0"/>
              <w:rPr>
                <w:rFonts w:eastAsia="Arial"/>
                <w:b w:val="0"/>
                <w:sz w:val="20"/>
                <w:szCs w:val="22"/>
              </w:rPr>
            </w:pPr>
            <w:r w:rsidRPr="00BF3D0D">
              <w:rPr>
                <w:rFonts w:eastAsia="Arial"/>
                <w:b w:val="0"/>
                <w:sz w:val="20"/>
                <w:szCs w:val="22"/>
              </w:rPr>
              <w:t>Broxtowe District Council</w:t>
            </w:r>
          </w:p>
          <w:p w:rsidR="002E73AB" w:rsidRPr="00BF3D0D" w:rsidRDefault="002E73AB" w:rsidP="00B44B6B">
            <w:pPr>
              <w:pStyle w:val="Subheading"/>
              <w:ind w:left="0" w:firstLine="0"/>
              <w:rPr>
                <w:rFonts w:eastAsia="Arial"/>
                <w:b w:val="0"/>
                <w:sz w:val="20"/>
                <w:szCs w:val="22"/>
              </w:rPr>
            </w:pPr>
            <w:proofErr w:type="spellStart"/>
            <w:r w:rsidRPr="00BF3D0D">
              <w:rPr>
                <w:rFonts w:eastAsia="Arial"/>
                <w:b w:val="0"/>
                <w:sz w:val="20"/>
                <w:szCs w:val="22"/>
              </w:rPr>
              <w:t>Charnwood</w:t>
            </w:r>
            <w:proofErr w:type="spellEnd"/>
            <w:r w:rsidRPr="00BF3D0D">
              <w:rPr>
                <w:rFonts w:eastAsia="Arial"/>
                <w:b w:val="0"/>
                <w:sz w:val="20"/>
                <w:szCs w:val="22"/>
              </w:rPr>
              <w:t xml:space="preserve"> Borough Council</w:t>
            </w:r>
          </w:p>
          <w:p w:rsidR="002E73AB" w:rsidRPr="00BF3D0D" w:rsidRDefault="002E73AB" w:rsidP="00B44B6B">
            <w:pPr>
              <w:pStyle w:val="Subheading"/>
              <w:ind w:left="0" w:firstLine="0"/>
              <w:rPr>
                <w:rFonts w:eastAsia="Arial"/>
                <w:b w:val="0"/>
                <w:sz w:val="20"/>
                <w:szCs w:val="22"/>
              </w:rPr>
            </w:pPr>
            <w:r w:rsidRPr="00BF3D0D">
              <w:rPr>
                <w:rFonts w:eastAsia="Arial"/>
                <w:b w:val="0"/>
                <w:sz w:val="20"/>
                <w:szCs w:val="22"/>
              </w:rPr>
              <w:t>Chesterfield Council</w:t>
            </w:r>
          </w:p>
          <w:p w:rsidR="002E73AB" w:rsidRPr="00BF3D0D" w:rsidRDefault="002E73AB" w:rsidP="00B44B6B">
            <w:pPr>
              <w:pStyle w:val="Subheading"/>
              <w:ind w:left="0" w:firstLine="0"/>
              <w:rPr>
                <w:rFonts w:eastAsia="Arial"/>
                <w:b w:val="0"/>
                <w:sz w:val="20"/>
                <w:szCs w:val="22"/>
              </w:rPr>
            </w:pPr>
            <w:r w:rsidRPr="00BF3D0D">
              <w:rPr>
                <w:rFonts w:eastAsia="Arial"/>
                <w:b w:val="0"/>
                <w:sz w:val="20"/>
                <w:szCs w:val="22"/>
              </w:rPr>
              <w:t>Corby Borough Council</w:t>
            </w:r>
          </w:p>
          <w:p w:rsidR="002E73AB" w:rsidRPr="00BF3D0D" w:rsidRDefault="002E73AB" w:rsidP="00B44B6B">
            <w:pPr>
              <w:pStyle w:val="Subheading"/>
              <w:ind w:left="0" w:firstLine="0"/>
              <w:rPr>
                <w:rFonts w:eastAsia="Arial"/>
                <w:b w:val="0"/>
                <w:sz w:val="20"/>
                <w:szCs w:val="22"/>
              </w:rPr>
            </w:pPr>
            <w:proofErr w:type="spellStart"/>
            <w:r w:rsidRPr="00BF3D0D">
              <w:rPr>
                <w:rFonts w:eastAsia="Arial"/>
                <w:b w:val="0"/>
                <w:sz w:val="20"/>
                <w:szCs w:val="22"/>
              </w:rPr>
              <w:t>Daventry</w:t>
            </w:r>
            <w:proofErr w:type="spellEnd"/>
            <w:r w:rsidRPr="00BF3D0D">
              <w:rPr>
                <w:rFonts w:eastAsia="Arial"/>
                <w:b w:val="0"/>
                <w:sz w:val="20"/>
                <w:szCs w:val="22"/>
              </w:rPr>
              <w:t xml:space="preserve"> Borough Council</w:t>
            </w:r>
          </w:p>
          <w:p w:rsidR="002E73AB" w:rsidRPr="00BF3D0D" w:rsidRDefault="002E73AB" w:rsidP="00B44B6B">
            <w:pPr>
              <w:pStyle w:val="Subheading"/>
              <w:ind w:left="0" w:firstLine="0"/>
              <w:rPr>
                <w:rFonts w:eastAsia="Arial"/>
                <w:b w:val="0"/>
                <w:sz w:val="20"/>
                <w:szCs w:val="22"/>
              </w:rPr>
            </w:pPr>
            <w:r w:rsidRPr="00BF3D0D">
              <w:rPr>
                <w:rFonts w:eastAsia="Arial"/>
                <w:b w:val="0"/>
                <w:sz w:val="20"/>
                <w:szCs w:val="22"/>
              </w:rPr>
              <w:t xml:space="preserve">East </w:t>
            </w:r>
            <w:proofErr w:type="spellStart"/>
            <w:r w:rsidRPr="00BF3D0D">
              <w:rPr>
                <w:rFonts w:eastAsia="Arial"/>
                <w:b w:val="0"/>
                <w:sz w:val="20"/>
                <w:szCs w:val="22"/>
              </w:rPr>
              <w:t>Northants</w:t>
            </w:r>
            <w:proofErr w:type="spellEnd"/>
            <w:r w:rsidRPr="00BF3D0D">
              <w:rPr>
                <w:rFonts w:eastAsia="Arial"/>
                <w:b w:val="0"/>
                <w:sz w:val="20"/>
                <w:szCs w:val="22"/>
              </w:rPr>
              <w:t xml:space="preserve"> Council</w:t>
            </w:r>
          </w:p>
          <w:p w:rsidR="002E73AB" w:rsidRPr="00BF3D0D" w:rsidRDefault="002E73AB" w:rsidP="00B44B6B">
            <w:pPr>
              <w:pStyle w:val="Subheading"/>
              <w:ind w:left="0" w:firstLine="0"/>
              <w:rPr>
                <w:rFonts w:eastAsia="Arial"/>
                <w:b w:val="0"/>
                <w:sz w:val="20"/>
                <w:szCs w:val="22"/>
              </w:rPr>
            </w:pPr>
            <w:proofErr w:type="spellStart"/>
            <w:r w:rsidRPr="00BF3D0D">
              <w:rPr>
                <w:rFonts w:eastAsia="Arial"/>
                <w:b w:val="0"/>
                <w:sz w:val="20"/>
                <w:szCs w:val="22"/>
              </w:rPr>
              <w:t>Gedling</w:t>
            </w:r>
            <w:proofErr w:type="spellEnd"/>
            <w:r w:rsidRPr="00BF3D0D">
              <w:rPr>
                <w:rFonts w:eastAsia="Arial"/>
                <w:b w:val="0"/>
                <w:sz w:val="20"/>
                <w:szCs w:val="22"/>
              </w:rPr>
              <w:t xml:space="preserve"> Borough Council</w:t>
            </w:r>
          </w:p>
          <w:p w:rsidR="002E73AB" w:rsidRPr="00BF3D0D" w:rsidRDefault="002E73AB" w:rsidP="00B44B6B">
            <w:pPr>
              <w:pStyle w:val="Subheading"/>
              <w:ind w:left="0" w:firstLine="0"/>
              <w:rPr>
                <w:rFonts w:eastAsia="Arial"/>
                <w:b w:val="0"/>
                <w:sz w:val="20"/>
                <w:szCs w:val="22"/>
              </w:rPr>
            </w:pPr>
            <w:proofErr w:type="spellStart"/>
            <w:r w:rsidRPr="00BF3D0D">
              <w:rPr>
                <w:rFonts w:eastAsia="Arial"/>
                <w:b w:val="0"/>
                <w:sz w:val="20"/>
                <w:szCs w:val="22"/>
              </w:rPr>
              <w:t>Harborough</w:t>
            </w:r>
            <w:proofErr w:type="spellEnd"/>
            <w:r w:rsidRPr="00BF3D0D">
              <w:rPr>
                <w:rFonts w:eastAsia="Arial"/>
                <w:b w:val="0"/>
                <w:sz w:val="20"/>
                <w:szCs w:val="22"/>
              </w:rPr>
              <w:t xml:space="preserve"> District Council</w:t>
            </w:r>
          </w:p>
          <w:p w:rsidR="002E73AB" w:rsidRPr="00BF3D0D" w:rsidRDefault="002E73AB" w:rsidP="00B44B6B">
            <w:pPr>
              <w:pStyle w:val="Subheading"/>
              <w:ind w:left="0" w:firstLine="0"/>
              <w:rPr>
                <w:rFonts w:eastAsia="Arial"/>
                <w:b w:val="0"/>
                <w:sz w:val="20"/>
                <w:szCs w:val="22"/>
              </w:rPr>
            </w:pPr>
            <w:r w:rsidRPr="00BF3D0D">
              <w:rPr>
                <w:rFonts w:eastAsia="Arial"/>
                <w:b w:val="0"/>
                <w:sz w:val="20"/>
                <w:szCs w:val="22"/>
              </w:rPr>
              <w:t>Hinckley and Bosworth Borough Council</w:t>
            </w:r>
          </w:p>
          <w:p w:rsidR="002E73AB" w:rsidRPr="00BF3D0D" w:rsidRDefault="002E73AB" w:rsidP="00B44B6B">
            <w:pPr>
              <w:pStyle w:val="Subheading"/>
              <w:ind w:left="0" w:firstLine="0"/>
              <w:rPr>
                <w:rFonts w:eastAsia="Arial"/>
                <w:b w:val="0"/>
                <w:sz w:val="20"/>
                <w:szCs w:val="22"/>
              </w:rPr>
            </w:pPr>
            <w:r w:rsidRPr="00BF3D0D">
              <w:rPr>
                <w:rFonts w:eastAsia="Arial"/>
                <w:b w:val="0"/>
                <w:sz w:val="20"/>
                <w:szCs w:val="22"/>
              </w:rPr>
              <w:t>Kettering Borough Council</w:t>
            </w:r>
          </w:p>
          <w:p w:rsidR="002E73AB" w:rsidRPr="00BF3D0D" w:rsidRDefault="002E73AB" w:rsidP="00B44B6B">
            <w:pPr>
              <w:pStyle w:val="Subheading"/>
              <w:ind w:left="0" w:firstLine="0"/>
              <w:rPr>
                <w:rFonts w:eastAsia="Arial"/>
                <w:b w:val="0"/>
                <w:sz w:val="20"/>
                <w:szCs w:val="22"/>
              </w:rPr>
            </w:pPr>
            <w:r w:rsidRPr="00BF3D0D">
              <w:rPr>
                <w:rFonts w:eastAsia="Arial"/>
                <w:b w:val="0"/>
                <w:sz w:val="20"/>
                <w:szCs w:val="22"/>
              </w:rPr>
              <w:t>Leicester City Council</w:t>
            </w:r>
          </w:p>
          <w:p w:rsidR="002E73AB" w:rsidRPr="00BF3D0D" w:rsidRDefault="002E73AB" w:rsidP="00B44B6B">
            <w:pPr>
              <w:pStyle w:val="Subheading"/>
              <w:ind w:left="0" w:firstLine="0"/>
              <w:rPr>
                <w:rFonts w:eastAsia="Arial"/>
                <w:b w:val="0"/>
                <w:sz w:val="20"/>
                <w:szCs w:val="22"/>
              </w:rPr>
            </w:pPr>
            <w:r w:rsidRPr="00BF3D0D">
              <w:rPr>
                <w:rFonts w:eastAsia="Arial"/>
                <w:b w:val="0"/>
                <w:sz w:val="20"/>
                <w:szCs w:val="22"/>
              </w:rPr>
              <w:t>Mansfield District Council</w:t>
            </w:r>
          </w:p>
          <w:p w:rsidR="002E73AB" w:rsidRPr="00BF3D0D" w:rsidRDefault="002E73AB" w:rsidP="00B44B6B">
            <w:pPr>
              <w:pStyle w:val="Subheading"/>
              <w:ind w:left="0" w:firstLine="0"/>
              <w:rPr>
                <w:rFonts w:eastAsia="Arial"/>
                <w:b w:val="0"/>
                <w:sz w:val="20"/>
                <w:szCs w:val="22"/>
              </w:rPr>
            </w:pPr>
            <w:r w:rsidRPr="00BF3D0D">
              <w:rPr>
                <w:rFonts w:eastAsia="Arial"/>
                <w:b w:val="0"/>
                <w:sz w:val="20"/>
                <w:szCs w:val="22"/>
              </w:rPr>
              <w:t>Melton Borough Council</w:t>
            </w:r>
          </w:p>
          <w:p w:rsidR="002E73AB" w:rsidRPr="00BF3D0D" w:rsidRDefault="002E73AB" w:rsidP="00B44B6B">
            <w:pPr>
              <w:pStyle w:val="Subheading"/>
              <w:ind w:left="0" w:firstLine="0"/>
              <w:rPr>
                <w:rFonts w:eastAsia="Arial"/>
                <w:b w:val="0"/>
                <w:sz w:val="20"/>
                <w:szCs w:val="22"/>
              </w:rPr>
            </w:pPr>
            <w:r w:rsidRPr="00BF3D0D">
              <w:rPr>
                <w:rFonts w:eastAsia="Arial"/>
                <w:b w:val="0"/>
                <w:sz w:val="20"/>
                <w:szCs w:val="22"/>
              </w:rPr>
              <w:t>Newark and Sherwood District Council</w:t>
            </w:r>
          </w:p>
          <w:p w:rsidR="002E73AB" w:rsidRPr="00BF3D0D" w:rsidRDefault="002E73AB" w:rsidP="00B44B6B">
            <w:pPr>
              <w:pStyle w:val="Subheading"/>
              <w:ind w:left="0" w:firstLine="0"/>
              <w:rPr>
                <w:rFonts w:eastAsia="Arial"/>
                <w:b w:val="0"/>
                <w:sz w:val="20"/>
                <w:szCs w:val="22"/>
              </w:rPr>
            </w:pPr>
            <w:r w:rsidRPr="00BF3D0D">
              <w:rPr>
                <w:rFonts w:eastAsia="Arial"/>
                <w:b w:val="0"/>
                <w:sz w:val="20"/>
                <w:szCs w:val="22"/>
              </w:rPr>
              <w:t>North East Derbyshire District Council</w:t>
            </w:r>
          </w:p>
          <w:p w:rsidR="002E73AB" w:rsidRDefault="002E73AB" w:rsidP="00B44B6B">
            <w:pPr>
              <w:pStyle w:val="Subheading"/>
              <w:ind w:left="0" w:firstLine="0"/>
              <w:rPr>
                <w:rFonts w:eastAsia="Arial"/>
                <w:b w:val="0"/>
                <w:sz w:val="20"/>
                <w:szCs w:val="22"/>
              </w:rPr>
            </w:pPr>
            <w:r w:rsidRPr="00BF3D0D">
              <w:rPr>
                <w:rFonts w:eastAsia="Arial"/>
                <w:b w:val="0"/>
                <w:sz w:val="20"/>
                <w:szCs w:val="22"/>
              </w:rPr>
              <w:t xml:space="preserve">North </w:t>
            </w:r>
            <w:proofErr w:type="spellStart"/>
            <w:r w:rsidRPr="00BF3D0D">
              <w:rPr>
                <w:rFonts w:eastAsia="Arial"/>
                <w:b w:val="0"/>
                <w:sz w:val="20"/>
                <w:szCs w:val="22"/>
              </w:rPr>
              <w:t>Kesterven</w:t>
            </w:r>
            <w:proofErr w:type="spellEnd"/>
            <w:r w:rsidRPr="00BF3D0D">
              <w:rPr>
                <w:rFonts w:eastAsia="Arial"/>
                <w:b w:val="0"/>
                <w:sz w:val="20"/>
                <w:szCs w:val="22"/>
              </w:rPr>
              <w:t xml:space="preserve"> District Council</w:t>
            </w:r>
          </w:p>
          <w:p w:rsidR="002E73AB" w:rsidRDefault="002E73AB" w:rsidP="00B44B6B">
            <w:pPr>
              <w:pStyle w:val="Subheading"/>
              <w:ind w:left="0" w:firstLine="0"/>
              <w:rPr>
                <w:rFonts w:eastAsia="Arial"/>
                <w:b w:val="0"/>
                <w:sz w:val="20"/>
                <w:szCs w:val="22"/>
              </w:rPr>
            </w:pPr>
            <w:r>
              <w:rPr>
                <w:rFonts w:eastAsia="Arial"/>
                <w:b w:val="0"/>
                <w:sz w:val="20"/>
                <w:szCs w:val="22"/>
              </w:rPr>
              <w:t>Northampton Borough Council</w:t>
            </w:r>
          </w:p>
          <w:p w:rsidR="002E73AB" w:rsidRDefault="002E73AB" w:rsidP="00B44B6B">
            <w:pPr>
              <w:pStyle w:val="Subheading"/>
              <w:ind w:left="0" w:firstLine="0"/>
              <w:rPr>
                <w:rFonts w:eastAsia="Arial"/>
                <w:b w:val="0"/>
                <w:sz w:val="20"/>
                <w:szCs w:val="22"/>
              </w:rPr>
            </w:pPr>
            <w:r>
              <w:rPr>
                <w:rFonts w:eastAsia="Arial"/>
                <w:b w:val="0"/>
                <w:sz w:val="20"/>
                <w:szCs w:val="22"/>
              </w:rPr>
              <w:t>Nottingham City Council</w:t>
            </w:r>
          </w:p>
          <w:p w:rsidR="002E73AB" w:rsidRDefault="002E73AB" w:rsidP="00B44B6B">
            <w:pPr>
              <w:pStyle w:val="Subheading"/>
              <w:ind w:left="0" w:firstLine="0"/>
              <w:rPr>
                <w:rFonts w:eastAsia="Arial"/>
                <w:b w:val="0"/>
                <w:sz w:val="20"/>
                <w:szCs w:val="22"/>
              </w:rPr>
            </w:pPr>
            <w:r>
              <w:rPr>
                <w:rFonts w:eastAsia="Arial"/>
                <w:b w:val="0"/>
                <w:sz w:val="20"/>
                <w:szCs w:val="22"/>
              </w:rPr>
              <w:t>Nuneaton and Bedworth Borough Council</w:t>
            </w:r>
          </w:p>
          <w:p w:rsidR="002E73AB" w:rsidRDefault="002E73AB" w:rsidP="00B44B6B">
            <w:pPr>
              <w:pStyle w:val="Subheading"/>
              <w:ind w:left="0" w:firstLine="0"/>
              <w:rPr>
                <w:rFonts w:eastAsia="Arial"/>
                <w:b w:val="0"/>
                <w:sz w:val="20"/>
                <w:szCs w:val="22"/>
              </w:rPr>
            </w:pPr>
            <w:proofErr w:type="spellStart"/>
            <w:r>
              <w:rPr>
                <w:rFonts w:eastAsia="Arial"/>
                <w:b w:val="0"/>
                <w:sz w:val="20"/>
                <w:szCs w:val="22"/>
              </w:rPr>
              <w:t>Oadby</w:t>
            </w:r>
            <w:proofErr w:type="spellEnd"/>
            <w:r>
              <w:rPr>
                <w:rFonts w:eastAsia="Arial"/>
                <w:b w:val="0"/>
                <w:sz w:val="20"/>
                <w:szCs w:val="22"/>
              </w:rPr>
              <w:t xml:space="preserve"> and </w:t>
            </w:r>
            <w:proofErr w:type="spellStart"/>
            <w:r>
              <w:rPr>
                <w:rFonts w:eastAsia="Arial"/>
                <w:b w:val="0"/>
                <w:sz w:val="20"/>
                <w:szCs w:val="22"/>
              </w:rPr>
              <w:t>Wigston</w:t>
            </w:r>
            <w:proofErr w:type="spellEnd"/>
            <w:r>
              <w:rPr>
                <w:rFonts w:eastAsia="Arial"/>
                <w:b w:val="0"/>
                <w:sz w:val="20"/>
                <w:szCs w:val="22"/>
              </w:rPr>
              <w:t xml:space="preserve"> Borough Council</w:t>
            </w:r>
          </w:p>
          <w:p w:rsidR="002E73AB" w:rsidRDefault="002E73AB" w:rsidP="00B44B6B">
            <w:pPr>
              <w:pStyle w:val="Subheading"/>
              <w:ind w:left="0" w:firstLine="0"/>
              <w:rPr>
                <w:rFonts w:eastAsia="Arial"/>
                <w:b w:val="0"/>
                <w:sz w:val="20"/>
                <w:szCs w:val="22"/>
              </w:rPr>
            </w:pPr>
            <w:r>
              <w:rPr>
                <w:rFonts w:eastAsia="Arial"/>
                <w:b w:val="0"/>
                <w:sz w:val="20"/>
                <w:szCs w:val="22"/>
              </w:rPr>
              <w:t>Rugby Borough Council</w:t>
            </w:r>
          </w:p>
          <w:p w:rsidR="002E73AB" w:rsidRDefault="002E73AB" w:rsidP="00B44B6B">
            <w:pPr>
              <w:pStyle w:val="Subheading"/>
              <w:ind w:left="0" w:firstLine="0"/>
              <w:rPr>
                <w:rFonts w:eastAsia="Arial"/>
                <w:b w:val="0"/>
                <w:sz w:val="20"/>
                <w:szCs w:val="22"/>
              </w:rPr>
            </w:pPr>
            <w:proofErr w:type="spellStart"/>
            <w:r>
              <w:rPr>
                <w:rFonts w:eastAsia="Arial"/>
                <w:b w:val="0"/>
                <w:sz w:val="20"/>
                <w:szCs w:val="22"/>
              </w:rPr>
              <w:t>Rushcliffe</w:t>
            </w:r>
            <w:proofErr w:type="spellEnd"/>
            <w:r>
              <w:rPr>
                <w:rFonts w:eastAsia="Arial"/>
                <w:b w:val="0"/>
                <w:sz w:val="20"/>
                <w:szCs w:val="22"/>
              </w:rPr>
              <w:t xml:space="preserve"> Borough Council</w:t>
            </w:r>
          </w:p>
          <w:p w:rsidR="002E73AB" w:rsidRDefault="002E73AB" w:rsidP="00B44B6B">
            <w:pPr>
              <w:pStyle w:val="Subheading"/>
              <w:ind w:left="0" w:firstLine="0"/>
              <w:rPr>
                <w:rFonts w:eastAsia="Arial"/>
                <w:b w:val="0"/>
                <w:sz w:val="20"/>
                <w:szCs w:val="22"/>
              </w:rPr>
            </w:pPr>
            <w:r>
              <w:rPr>
                <w:rFonts w:eastAsia="Arial"/>
                <w:b w:val="0"/>
                <w:sz w:val="20"/>
                <w:szCs w:val="22"/>
              </w:rPr>
              <w:t>Rutland County Council</w:t>
            </w:r>
          </w:p>
          <w:p w:rsidR="002E73AB" w:rsidRDefault="002E73AB" w:rsidP="00B44B6B">
            <w:pPr>
              <w:pStyle w:val="Subheading"/>
              <w:ind w:left="0" w:firstLine="0"/>
              <w:rPr>
                <w:rFonts w:eastAsia="Arial"/>
                <w:b w:val="0"/>
                <w:sz w:val="20"/>
                <w:szCs w:val="22"/>
              </w:rPr>
            </w:pPr>
            <w:r>
              <w:rPr>
                <w:rFonts w:eastAsia="Arial"/>
                <w:b w:val="0"/>
                <w:sz w:val="20"/>
                <w:szCs w:val="22"/>
              </w:rPr>
              <w:t xml:space="preserve">South </w:t>
            </w:r>
            <w:proofErr w:type="spellStart"/>
            <w:r>
              <w:rPr>
                <w:rFonts w:eastAsia="Arial"/>
                <w:b w:val="0"/>
                <w:sz w:val="20"/>
                <w:szCs w:val="22"/>
              </w:rPr>
              <w:t>Kesteven</w:t>
            </w:r>
            <w:proofErr w:type="spellEnd"/>
            <w:r>
              <w:rPr>
                <w:rFonts w:eastAsia="Arial"/>
                <w:b w:val="0"/>
                <w:sz w:val="20"/>
                <w:szCs w:val="22"/>
              </w:rPr>
              <w:t xml:space="preserve"> District Council</w:t>
            </w:r>
          </w:p>
          <w:p w:rsidR="002E73AB" w:rsidRDefault="002E73AB" w:rsidP="00B44B6B">
            <w:pPr>
              <w:pStyle w:val="Subheading"/>
              <w:ind w:left="0" w:firstLine="0"/>
              <w:rPr>
                <w:rFonts w:eastAsia="Arial"/>
                <w:b w:val="0"/>
                <w:sz w:val="20"/>
                <w:szCs w:val="22"/>
              </w:rPr>
            </w:pPr>
            <w:r>
              <w:rPr>
                <w:rFonts w:eastAsia="Arial"/>
                <w:b w:val="0"/>
                <w:sz w:val="20"/>
                <w:szCs w:val="22"/>
              </w:rPr>
              <w:t xml:space="preserve">South </w:t>
            </w:r>
            <w:proofErr w:type="spellStart"/>
            <w:r>
              <w:rPr>
                <w:rFonts w:eastAsia="Arial"/>
                <w:b w:val="0"/>
                <w:sz w:val="20"/>
                <w:szCs w:val="22"/>
              </w:rPr>
              <w:t>Northants</w:t>
            </w:r>
            <w:proofErr w:type="spellEnd"/>
            <w:r>
              <w:rPr>
                <w:rFonts w:eastAsia="Arial"/>
                <w:b w:val="0"/>
                <w:sz w:val="20"/>
                <w:szCs w:val="22"/>
              </w:rPr>
              <w:t xml:space="preserve"> Council</w:t>
            </w:r>
          </w:p>
          <w:p w:rsidR="002E73AB" w:rsidRPr="00BF3D0D" w:rsidRDefault="002E73AB" w:rsidP="00B44B6B">
            <w:pPr>
              <w:pStyle w:val="Subheading"/>
              <w:ind w:left="0" w:firstLine="0"/>
              <w:rPr>
                <w:rFonts w:eastAsia="Arial"/>
                <w:b w:val="0"/>
                <w:sz w:val="20"/>
                <w:szCs w:val="22"/>
              </w:rPr>
            </w:pPr>
            <w:proofErr w:type="spellStart"/>
            <w:r>
              <w:rPr>
                <w:rFonts w:eastAsia="Arial"/>
                <w:b w:val="0"/>
                <w:sz w:val="20"/>
                <w:szCs w:val="22"/>
              </w:rPr>
              <w:t>Wellingborough</w:t>
            </w:r>
            <w:proofErr w:type="spellEnd"/>
            <w:r>
              <w:rPr>
                <w:rFonts w:eastAsia="Arial"/>
                <w:b w:val="0"/>
                <w:sz w:val="20"/>
                <w:szCs w:val="22"/>
              </w:rPr>
              <w:t xml:space="preserve"> Council</w:t>
            </w:r>
          </w:p>
          <w:p w:rsidR="002E73AB" w:rsidRDefault="002E73AB" w:rsidP="00B44B6B">
            <w:pPr>
              <w:pStyle w:val="Subheading"/>
              <w:ind w:left="0" w:firstLine="0"/>
              <w:rPr>
                <w:rFonts w:eastAsia="Arial"/>
                <w:b w:val="0"/>
                <w:sz w:val="22"/>
                <w:szCs w:val="22"/>
              </w:rPr>
            </w:pPr>
          </w:p>
        </w:tc>
        <w:tc>
          <w:tcPr>
            <w:tcW w:w="3024" w:type="dxa"/>
          </w:tcPr>
          <w:p w:rsidR="002E73AB" w:rsidRDefault="002E73AB" w:rsidP="00B44B6B">
            <w:pPr>
              <w:pStyle w:val="Subheading"/>
              <w:ind w:left="0" w:firstLine="0"/>
              <w:rPr>
                <w:rFonts w:eastAsia="Arial"/>
                <w:b w:val="0"/>
                <w:sz w:val="20"/>
                <w:szCs w:val="22"/>
              </w:rPr>
            </w:pPr>
            <w:r>
              <w:rPr>
                <w:rFonts w:eastAsia="Arial"/>
                <w:b w:val="0"/>
                <w:sz w:val="20"/>
                <w:szCs w:val="22"/>
              </w:rPr>
              <w:t>Barking and Dagenham</w:t>
            </w:r>
          </w:p>
          <w:p w:rsidR="002E73AB" w:rsidRDefault="002E73AB" w:rsidP="00B44B6B">
            <w:pPr>
              <w:pStyle w:val="Subheading"/>
              <w:ind w:left="0" w:firstLine="0"/>
              <w:rPr>
                <w:rFonts w:eastAsia="Arial"/>
                <w:b w:val="0"/>
                <w:sz w:val="20"/>
                <w:szCs w:val="22"/>
              </w:rPr>
            </w:pPr>
            <w:r>
              <w:rPr>
                <w:rFonts w:eastAsia="Arial"/>
                <w:b w:val="0"/>
                <w:sz w:val="20"/>
                <w:szCs w:val="22"/>
              </w:rPr>
              <w:t>Barnet</w:t>
            </w:r>
          </w:p>
          <w:p w:rsidR="002E73AB" w:rsidRDefault="002E73AB" w:rsidP="00B44B6B">
            <w:pPr>
              <w:pStyle w:val="Subheading"/>
              <w:ind w:left="0" w:firstLine="0"/>
              <w:rPr>
                <w:rFonts w:eastAsia="Arial"/>
                <w:b w:val="0"/>
                <w:sz w:val="20"/>
                <w:szCs w:val="22"/>
              </w:rPr>
            </w:pPr>
            <w:r>
              <w:rPr>
                <w:rFonts w:eastAsia="Arial"/>
                <w:b w:val="0"/>
                <w:sz w:val="20"/>
                <w:szCs w:val="22"/>
              </w:rPr>
              <w:t>Brent</w:t>
            </w:r>
          </w:p>
          <w:p w:rsidR="002E73AB" w:rsidRDefault="002E73AB" w:rsidP="00B44B6B">
            <w:pPr>
              <w:pStyle w:val="Subheading"/>
              <w:ind w:left="0" w:firstLine="0"/>
              <w:rPr>
                <w:rFonts w:eastAsia="Arial"/>
                <w:b w:val="0"/>
                <w:sz w:val="20"/>
                <w:szCs w:val="22"/>
              </w:rPr>
            </w:pPr>
            <w:r>
              <w:rPr>
                <w:rFonts w:eastAsia="Arial"/>
                <w:b w:val="0"/>
                <w:sz w:val="20"/>
                <w:szCs w:val="22"/>
              </w:rPr>
              <w:t>Camden</w:t>
            </w:r>
          </w:p>
          <w:p w:rsidR="002E73AB" w:rsidRDefault="002E73AB" w:rsidP="00B44B6B">
            <w:pPr>
              <w:pStyle w:val="Subheading"/>
              <w:ind w:left="0" w:firstLine="0"/>
              <w:rPr>
                <w:rFonts w:eastAsia="Arial"/>
                <w:b w:val="0"/>
                <w:sz w:val="20"/>
                <w:szCs w:val="22"/>
              </w:rPr>
            </w:pPr>
            <w:r>
              <w:rPr>
                <w:rFonts w:eastAsia="Arial"/>
                <w:b w:val="0"/>
                <w:sz w:val="20"/>
                <w:szCs w:val="22"/>
              </w:rPr>
              <w:t>Croydon*</w:t>
            </w:r>
          </w:p>
          <w:p w:rsidR="002E73AB" w:rsidRDefault="002E73AB" w:rsidP="00B44B6B">
            <w:pPr>
              <w:pStyle w:val="Subheading"/>
              <w:ind w:left="0" w:firstLine="0"/>
              <w:rPr>
                <w:rFonts w:eastAsia="Arial"/>
                <w:b w:val="0"/>
                <w:sz w:val="20"/>
                <w:szCs w:val="22"/>
              </w:rPr>
            </w:pPr>
            <w:proofErr w:type="spellStart"/>
            <w:r>
              <w:rPr>
                <w:rFonts w:eastAsia="Arial"/>
                <w:b w:val="0"/>
                <w:sz w:val="20"/>
                <w:szCs w:val="22"/>
              </w:rPr>
              <w:t>Ealing</w:t>
            </w:r>
            <w:proofErr w:type="spellEnd"/>
          </w:p>
          <w:p w:rsidR="002E73AB" w:rsidRDefault="002E73AB" w:rsidP="00B44B6B">
            <w:pPr>
              <w:pStyle w:val="Subheading"/>
              <w:ind w:left="0" w:firstLine="0"/>
              <w:rPr>
                <w:rFonts w:eastAsia="Arial"/>
                <w:b w:val="0"/>
                <w:sz w:val="20"/>
                <w:szCs w:val="22"/>
              </w:rPr>
            </w:pPr>
            <w:r>
              <w:rPr>
                <w:rFonts w:eastAsia="Arial"/>
                <w:b w:val="0"/>
                <w:sz w:val="20"/>
                <w:szCs w:val="22"/>
              </w:rPr>
              <w:t>Greenwich</w:t>
            </w:r>
          </w:p>
          <w:p w:rsidR="002E73AB" w:rsidRDefault="002E73AB" w:rsidP="00B44B6B">
            <w:pPr>
              <w:pStyle w:val="Subheading"/>
              <w:ind w:left="0" w:firstLine="0"/>
              <w:rPr>
                <w:rFonts w:eastAsia="Arial"/>
                <w:b w:val="0"/>
                <w:sz w:val="20"/>
                <w:szCs w:val="22"/>
              </w:rPr>
            </w:pPr>
            <w:r>
              <w:rPr>
                <w:rFonts w:eastAsia="Arial"/>
                <w:b w:val="0"/>
                <w:sz w:val="20"/>
                <w:szCs w:val="22"/>
              </w:rPr>
              <w:t xml:space="preserve">Hammersmith and </w:t>
            </w:r>
            <w:proofErr w:type="spellStart"/>
            <w:r>
              <w:rPr>
                <w:rFonts w:eastAsia="Arial"/>
                <w:b w:val="0"/>
                <w:sz w:val="20"/>
                <w:szCs w:val="22"/>
              </w:rPr>
              <w:t>Fulham</w:t>
            </w:r>
            <w:proofErr w:type="spellEnd"/>
          </w:p>
          <w:p w:rsidR="002E73AB" w:rsidRDefault="002E73AB" w:rsidP="00B44B6B">
            <w:pPr>
              <w:pStyle w:val="Subheading"/>
              <w:ind w:left="0" w:firstLine="0"/>
              <w:rPr>
                <w:rFonts w:eastAsia="Arial"/>
                <w:b w:val="0"/>
                <w:sz w:val="20"/>
                <w:szCs w:val="22"/>
              </w:rPr>
            </w:pPr>
            <w:proofErr w:type="spellStart"/>
            <w:r>
              <w:rPr>
                <w:rFonts w:eastAsia="Arial"/>
                <w:b w:val="0"/>
                <w:sz w:val="20"/>
                <w:szCs w:val="22"/>
              </w:rPr>
              <w:t>Haringey</w:t>
            </w:r>
            <w:proofErr w:type="spellEnd"/>
          </w:p>
          <w:p w:rsidR="002E73AB" w:rsidRDefault="002E73AB" w:rsidP="00B44B6B">
            <w:pPr>
              <w:pStyle w:val="Subheading"/>
              <w:ind w:left="0" w:firstLine="0"/>
              <w:rPr>
                <w:rFonts w:eastAsia="Arial"/>
                <w:b w:val="0"/>
                <w:sz w:val="20"/>
                <w:szCs w:val="22"/>
              </w:rPr>
            </w:pPr>
            <w:r>
              <w:rPr>
                <w:rFonts w:eastAsia="Arial"/>
                <w:b w:val="0"/>
                <w:sz w:val="20"/>
                <w:szCs w:val="22"/>
              </w:rPr>
              <w:t>Harrow</w:t>
            </w:r>
          </w:p>
          <w:p w:rsidR="002E73AB" w:rsidRDefault="002E73AB" w:rsidP="00B44B6B">
            <w:pPr>
              <w:pStyle w:val="Subheading"/>
              <w:ind w:left="0" w:firstLine="0"/>
              <w:rPr>
                <w:rFonts w:eastAsia="Arial"/>
                <w:b w:val="0"/>
                <w:sz w:val="20"/>
                <w:szCs w:val="22"/>
              </w:rPr>
            </w:pPr>
            <w:proofErr w:type="spellStart"/>
            <w:r>
              <w:rPr>
                <w:rFonts w:eastAsia="Arial"/>
                <w:b w:val="0"/>
                <w:sz w:val="20"/>
                <w:szCs w:val="22"/>
              </w:rPr>
              <w:t>Hillingdon</w:t>
            </w:r>
            <w:proofErr w:type="spellEnd"/>
          </w:p>
          <w:p w:rsidR="002E73AB" w:rsidRDefault="002E73AB" w:rsidP="00B44B6B">
            <w:pPr>
              <w:pStyle w:val="Subheading"/>
              <w:ind w:left="0" w:firstLine="0"/>
              <w:rPr>
                <w:rFonts w:eastAsia="Arial"/>
                <w:b w:val="0"/>
                <w:sz w:val="20"/>
                <w:szCs w:val="22"/>
              </w:rPr>
            </w:pPr>
            <w:r>
              <w:rPr>
                <w:rFonts w:eastAsia="Arial"/>
                <w:b w:val="0"/>
                <w:sz w:val="20"/>
                <w:szCs w:val="22"/>
              </w:rPr>
              <w:t>Islington</w:t>
            </w:r>
          </w:p>
          <w:p w:rsidR="002E73AB" w:rsidRDefault="002E73AB" w:rsidP="00B44B6B">
            <w:pPr>
              <w:pStyle w:val="Subheading"/>
              <w:ind w:left="0" w:firstLine="0"/>
              <w:rPr>
                <w:rFonts w:eastAsia="Arial"/>
                <w:b w:val="0"/>
                <w:sz w:val="20"/>
                <w:szCs w:val="22"/>
              </w:rPr>
            </w:pPr>
            <w:r>
              <w:rPr>
                <w:rFonts w:eastAsia="Arial"/>
                <w:b w:val="0"/>
                <w:sz w:val="20"/>
                <w:szCs w:val="22"/>
              </w:rPr>
              <w:t>Lambeth</w:t>
            </w:r>
          </w:p>
          <w:p w:rsidR="002E73AB" w:rsidRDefault="002E73AB" w:rsidP="00B44B6B">
            <w:pPr>
              <w:pStyle w:val="Subheading"/>
              <w:ind w:left="0" w:firstLine="0"/>
              <w:rPr>
                <w:rFonts w:eastAsia="Arial"/>
                <w:b w:val="0"/>
                <w:sz w:val="20"/>
                <w:szCs w:val="22"/>
              </w:rPr>
            </w:pPr>
            <w:proofErr w:type="spellStart"/>
            <w:r>
              <w:rPr>
                <w:rFonts w:eastAsia="Arial"/>
                <w:b w:val="0"/>
                <w:sz w:val="20"/>
                <w:szCs w:val="22"/>
              </w:rPr>
              <w:t>Lewisham</w:t>
            </w:r>
            <w:proofErr w:type="spellEnd"/>
          </w:p>
          <w:p w:rsidR="002E73AB" w:rsidRDefault="002E73AB" w:rsidP="00B44B6B">
            <w:pPr>
              <w:pStyle w:val="Subheading"/>
              <w:ind w:left="0" w:firstLine="0"/>
              <w:rPr>
                <w:rFonts w:eastAsia="Arial"/>
                <w:b w:val="0"/>
                <w:sz w:val="20"/>
                <w:szCs w:val="22"/>
              </w:rPr>
            </w:pPr>
            <w:proofErr w:type="spellStart"/>
            <w:r>
              <w:rPr>
                <w:rFonts w:eastAsia="Arial"/>
                <w:b w:val="0"/>
                <w:sz w:val="20"/>
                <w:szCs w:val="22"/>
              </w:rPr>
              <w:t>Newham</w:t>
            </w:r>
            <w:proofErr w:type="spellEnd"/>
          </w:p>
          <w:p w:rsidR="002E73AB" w:rsidRDefault="002E73AB" w:rsidP="00B44B6B">
            <w:pPr>
              <w:pStyle w:val="Subheading"/>
              <w:ind w:left="0" w:firstLine="0"/>
              <w:rPr>
                <w:rFonts w:eastAsia="Arial"/>
                <w:b w:val="0"/>
                <w:sz w:val="20"/>
                <w:szCs w:val="22"/>
              </w:rPr>
            </w:pPr>
            <w:proofErr w:type="spellStart"/>
            <w:r>
              <w:rPr>
                <w:rFonts w:eastAsia="Arial"/>
                <w:b w:val="0"/>
                <w:sz w:val="20"/>
                <w:szCs w:val="22"/>
              </w:rPr>
              <w:t>Redbridge</w:t>
            </w:r>
            <w:proofErr w:type="spellEnd"/>
          </w:p>
          <w:p w:rsidR="002E73AB" w:rsidRDefault="002E73AB" w:rsidP="00B44B6B">
            <w:pPr>
              <w:pStyle w:val="Subheading"/>
              <w:ind w:left="0" w:firstLine="0"/>
              <w:rPr>
                <w:rFonts w:eastAsia="Arial"/>
                <w:b w:val="0"/>
                <w:sz w:val="20"/>
                <w:szCs w:val="22"/>
              </w:rPr>
            </w:pPr>
            <w:proofErr w:type="spellStart"/>
            <w:r>
              <w:rPr>
                <w:rFonts w:eastAsia="Arial"/>
                <w:b w:val="0"/>
                <w:sz w:val="20"/>
                <w:szCs w:val="22"/>
              </w:rPr>
              <w:t>Southwark</w:t>
            </w:r>
            <w:proofErr w:type="spellEnd"/>
          </w:p>
          <w:p w:rsidR="002E73AB" w:rsidRDefault="002E73AB" w:rsidP="00B44B6B">
            <w:pPr>
              <w:pStyle w:val="Subheading"/>
              <w:ind w:left="0" w:firstLine="0"/>
              <w:rPr>
                <w:rFonts w:eastAsia="Arial"/>
                <w:b w:val="0"/>
                <w:sz w:val="20"/>
                <w:szCs w:val="22"/>
              </w:rPr>
            </w:pPr>
            <w:r>
              <w:rPr>
                <w:rFonts w:eastAsia="Arial"/>
                <w:b w:val="0"/>
                <w:sz w:val="20"/>
                <w:szCs w:val="22"/>
              </w:rPr>
              <w:t>Tower Hamlets</w:t>
            </w:r>
          </w:p>
          <w:p w:rsidR="002E73AB" w:rsidRDefault="002E73AB" w:rsidP="00B44B6B">
            <w:pPr>
              <w:pStyle w:val="Subheading"/>
              <w:ind w:left="0" w:firstLine="0"/>
              <w:rPr>
                <w:rFonts w:eastAsia="Arial"/>
                <w:b w:val="0"/>
                <w:sz w:val="20"/>
                <w:szCs w:val="22"/>
              </w:rPr>
            </w:pPr>
            <w:r>
              <w:rPr>
                <w:rFonts w:eastAsia="Arial"/>
                <w:b w:val="0"/>
                <w:sz w:val="20"/>
                <w:szCs w:val="22"/>
              </w:rPr>
              <w:t>Waltham Forest</w:t>
            </w:r>
          </w:p>
          <w:p w:rsidR="002E73AB" w:rsidRDefault="002E73AB" w:rsidP="00B44B6B">
            <w:pPr>
              <w:pStyle w:val="Subheading"/>
              <w:ind w:left="0" w:firstLine="0"/>
              <w:rPr>
                <w:rFonts w:eastAsia="Arial"/>
                <w:b w:val="0"/>
                <w:sz w:val="20"/>
                <w:szCs w:val="22"/>
              </w:rPr>
            </w:pPr>
            <w:r w:rsidRPr="00884B26">
              <w:rPr>
                <w:rFonts w:eastAsia="Arial"/>
                <w:b w:val="0"/>
                <w:sz w:val="20"/>
                <w:szCs w:val="22"/>
              </w:rPr>
              <w:t>Wandsworth</w:t>
            </w:r>
          </w:p>
          <w:p w:rsidR="002E73AB" w:rsidRDefault="002E73AB" w:rsidP="00B44B6B">
            <w:pPr>
              <w:pStyle w:val="Subheading"/>
              <w:ind w:left="0" w:firstLine="0"/>
              <w:rPr>
                <w:rFonts w:eastAsia="Arial"/>
                <w:b w:val="0"/>
                <w:sz w:val="20"/>
                <w:szCs w:val="22"/>
              </w:rPr>
            </w:pPr>
          </w:p>
          <w:p w:rsidR="002E73AB" w:rsidRDefault="002E73AB" w:rsidP="00B44B6B">
            <w:pPr>
              <w:pStyle w:val="Subheading"/>
              <w:ind w:left="0" w:firstLine="0"/>
              <w:rPr>
                <w:rFonts w:eastAsia="Arial"/>
                <w:b w:val="0"/>
                <w:sz w:val="20"/>
                <w:szCs w:val="22"/>
              </w:rPr>
            </w:pPr>
          </w:p>
          <w:p w:rsidR="002E73AB" w:rsidRDefault="002E73AB" w:rsidP="00B44B6B">
            <w:pPr>
              <w:pStyle w:val="Subheading"/>
              <w:ind w:left="0" w:firstLine="0"/>
              <w:rPr>
                <w:rFonts w:eastAsia="Arial"/>
                <w:b w:val="0"/>
                <w:sz w:val="20"/>
                <w:szCs w:val="22"/>
              </w:rPr>
            </w:pPr>
          </w:p>
          <w:p w:rsidR="002E73AB" w:rsidRDefault="002E73AB" w:rsidP="00B44B6B">
            <w:pPr>
              <w:pStyle w:val="Subheading"/>
              <w:ind w:left="0" w:firstLine="0"/>
              <w:rPr>
                <w:rFonts w:eastAsia="Arial"/>
                <w:b w:val="0"/>
                <w:sz w:val="20"/>
                <w:szCs w:val="22"/>
              </w:rPr>
            </w:pPr>
          </w:p>
          <w:p w:rsidR="002E73AB" w:rsidRDefault="002E73AB" w:rsidP="00B44B6B">
            <w:pPr>
              <w:pStyle w:val="Subheading"/>
              <w:ind w:left="0" w:firstLine="0"/>
              <w:rPr>
                <w:rFonts w:eastAsia="Arial"/>
                <w:b w:val="0"/>
                <w:sz w:val="20"/>
                <w:szCs w:val="22"/>
              </w:rPr>
            </w:pPr>
          </w:p>
          <w:p w:rsidR="002E73AB" w:rsidRDefault="002E73AB" w:rsidP="00B44B6B">
            <w:pPr>
              <w:pStyle w:val="Subheading"/>
              <w:ind w:left="0" w:firstLine="0"/>
              <w:rPr>
                <w:rFonts w:eastAsia="Arial"/>
                <w:b w:val="0"/>
                <w:sz w:val="20"/>
                <w:szCs w:val="22"/>
              </w:rPr>
            </w:pPr>
          </w:p>
          <w:p w:rsidR="002E73AB" w:rsidRDefault="002E73AB" w:rsidP="00B44B6B">
            <w:pPr>
              <w:pStyle w:val="Subheading"/>
              <w:ind w:left="0" w:firstLine="0"/>
              <w:rPr>
                <w:rFonts w:eastAsia="Arial"/>
                <w:b w:val="0"/>
                <w:sz w:val="20"/>
                <w:szCs w:val="22"/>
              </w:rPr>
            </w:pPr>
          </w:p>
          <w:p w:rsidR="002E73AB" w:rsidRDefault="002E73AB" w:rsidP="00B44B6B">
            <w:pPr>
              <w:pStyle w:val="Subheading"/>
              <w:ind w:left="0" w:firstLine="0"/>
              <w:rPr>
                <w:rFonts w:eastAsia="Arial"/>
                <w:b w:val="0"/>
                <w:sz w:val="20"/>
                <w:szCs w:val="22"/>
              </w:rPr>
            </w:pPr>
          </w:p>
          <w:p w:rsidR="002E73AB" w:rsidRDefault="002E73AB" w:rsidP="00B44B6B">
            <w:pPr>
              <w:pStyle w:val="Subheading"/>
              <w:ind w:left="0" w:firstLine="0"/>
              <w:rPr>
                <w:rFonts w:eastAsia="Arial"/>
                <w:b w:val="0"/>
                <w:sz w:val="20"/>
                <w:szCs w:val="22"/>
              </w:rPr>
            </w:pPr>
          </w:p>
          <w:p w:rsidR="002E73AB" w:rsidRDefault="002E73AB" w:rsidP="00B44B6B">
            <w:pPr>
              <w:pStyle w:val="Subheading"/>
              <w:ind w:left="0" w:firstLine="0"/>
              <w:rPr>
                <w:rFonts w:eastAsia="Arial"/>
                <w:b w:val="0"/>
                <w:sz w:val="20"/>
                <w:szCs w:val="22"/>
              </w:rPr>
            </w:pPr>
          </w:p>
          <w:p w:rsidR="002E73AB" w:rsidRDefault="002E73AB" w:rsidP="00B44B6B">
            <w:pPr>
              <w:pStyle w:val="Subheading"/>
              <w:ind w:left="0" w:firstLine="0"/>
              <w:rPr>
                <w:rFonts w:eastAsia="Arial"/>
                <w:b w:val="0"/>
                <w:sz w:val="20"/>
                <w:szCs w:val="22"/>
              </w:rPr>
            </w:pPr>
          </w:p>
          <w:p w:rsidR="002E73AB" w:rsidRDefault="002E73AB" w:rsidP="00B44B6B">
            <w:pPr>
              <w:pStyle w:val="Subheading"/>
              <w:ind w:left="0" w:firstLine="0"/>
              <w:rPr>
                <w:rFonts w:eastAsia="Arial"/>
                <w:b w:val="0"/>
                <w:sz w:val="20"/>
                <w:szCs w:val="22"/>
              </w:rPr>
            </w:pPr>
            <w:r>
              <w:rPr>
                <w:rFonts w:eastAsia="Arial"/>
                <w:b w:val="0"/>
                <w:sz w:val="20"/>
                <w:szCs w:val="22"/>
              </w:rPr>
              <w:t>*Croydon has been treated as a London borough for the purposes of matching the extremely high levels of demand for housing</w:t>
            </w:r>
          </w:p>
          <w:p w:rsidR="002E73AB" w:rsidRPr="00884B26" w:rsidRDefault="002E73AB" w:rsidP="00B44B6B">
            <w:pPr>
              <w:pStyle w:val="Subheading"/>
              <w:ind w:left="0" w:firstLine="0"/>
              <w:rPr>
                <w:rFonts w:eastAsia="Arial"/>
                <w:b w:val="0"/>
                <w:sz w:val="20"/>
                <w:szCs w:val="22"/>
              </w:rPr>
            </w:pPr>
          </w:p>
        </w:tc>
        <w:tc>
          <w:tcPr>
            <w:tcW w:w="3025" w:type="dxa"/>
          </w:tcPr>
          <w:p w:rsidR="002E73AB" w:rsidRDefault="002E73AB" w:rsidP="00B44B6B">
            <w:pPr>
              <w:pStyle w:val="Subheading"/>
              <w:ind w:left="0" w:firstLine="0"/>
              <w:rPr>
                <w:rFonts w:eastAsia="Arial"/>
                <w:b w:val="0"/>
                <w:sz w:val="20"/>
                <w:szCs w:val="22"/>
              </w:rPr>
            </w:pPr>
            <w:proofErr w:type="spellStart"/>
            <w:r w:rsidRPr="00884B26">
              <w:rPr>
                <w:rFonts w:eastAsia="Arial"/>
                <w:b w:val="0"/>
                <w:sz w:val="20"/>
                <w:szCs w:val="22"/>
              </w:rPr>
              <w:t>Arun</w:t>
            </w:r>
            <w:proofErr w:type="spellEnd"/>
          </w:p>
          <w:p w:rsidR="002E73AB" w:rsidRPr="00884B26" w:rsidRDefault="002E73AB" w:rsidP="00B44B6B">
            <w:pPr>
              <w:pStyle w:val="Subheading"/>
              <w:ind w:left="0" w:firstLine="0"/>
              <w:rPr>
                <w:rFonts w:eastAsia="Arial"/>
                <w:b w:val="0"/>
                <w:sz w:val="20"/>
                <w:szCs w:val="22"/>
              </w:rPr>
            </w:pPr>
            <w:proofErr w:type="spellStart"/>
            <w:r>
              <w:rPr>
                <w:rFonts w:eastAsia="Arial"/>
                <w:b w:val="0"/>
                <w:sz w:val="20"/>
                <w:szCs w:val="22"/>
              </w:rPr>
              <w:t>Aylesbury</w:t>
            </w:r>
            <w:proofErr w:type="spellEnd"/>
            <w:r>
              <w:rPr>
                <w:rFonts w:eastAsia="Arial"/>
                <w:b w:val="0"/>
                <w:sz w:val="20"/>
                <w:szCs w:val="22"/>
              </w:rPr>
              <w:t>*</w:t>
            </w:r>
          </w:p>
          <w:p w:rsidR="002E73AB" w:rsidRPr="00884B26" w:rsidRDefault="002E73AB" w:rsidP="00B44B6B">
            <w:pPr>
              <w:pStyle w:val="Subheading"/>
              <w:ind w:left="0" w:firstLine="0"/>
              <w:rPr>
                <w:rFonts w:eastAsia="Arial"/>
                <w:b w:val="0"/>
                <w:sz w:val="20"/>
                <w:szCs w:val="22"/>
              </w:rPr>
            </w:pPr>
            <w:r w:rsidRPr="00884B26">
              <w:rPr>
                <w:rFonts w:eastAsia="Arial"/>
                <w:b w:val="0"/>
                <w:sz w:val="20"/>
                <w:szCs w:val="22"/>
              </w:rPr>
              <w:t>Elmbridge (LSVT status)</w:t>
            </w:r>
          </w:p>
          <w:p w:rsidR="002E73AB" w:rsidRPr="00884B26" w:rsidRDefault="002E73AB" w:rsidP="00B44B6B">
            <w:pPr>
              <w:pStyle w:val="Subheading"/>
              <w:ind w:left="0" w:firstLine="0"/>
              <w:rPr>
                <w:rFonts w:eastAsia="Arial"/>
                <w:b w:val="0"/>
                <w:sz w:val="20"/>
                <w:szCs w:val="22"/>
              </w:rPr>
            </w:pPr>
            <w:r w:rsidRPr="00884B26">
              <w:rPr>
                <w:rFonts w:eastAsia="Arial"/>
                <w:b w:val="0"/>
                <w:sz w:val="20"/>
                <w:szCs w:val="22"/>
              </w:rPr>
              <w:t xml:space="preserve">Epsom and </w:t>
            </w:r>
            <w:proofErr w:type="spellStart"/>
            <w:r w:rsidRPr="00884B26">
              <w:rPr>
                <w:rFonts w:eastAsia="Arial"/>
                <w:b w:val="0"/>
                <w:sz w:val="20"/>
                <w:szCs w:val="22"/>
              </w:rPr>
              <w:t>Ewell</w:t>
            </w:r>
            <w:proofErr w:type="spellEnd"/>
          </w:p>
          <w:p w:rsidR="002E73AB" w:rsidRPr="00884B26" w:rsidRDefault="002E73AB" w:rsidP="00B44B6B">
            <w:pPr>
              <w:pStyle w:val="Subheading"/>
              <w:ind w:left="0" w:firstLine="0"/>
              <w:rPr>
                <w:rFonts w:eastAsia="Arial"/>
                <w:b w:val="0"/>
                <w:sz w:val="20"/>
                <w:szCs w:val="22"/>
              </w:rPr>
            </w:pPr>
            <w:r w:rsidRPr="00884B26">
              <w:rPr>
                <w:rFonts w:eastAsia="Arial"/>
                <w:b w:val="0"/>
                <w:sz w:val="20"/>
                <w:szCs w:val="22"/>
              </w:rPr>
              <w:t>Guildford</w:t>
            </w:r>
          </w:p>
          <w:p w:rsidR="002E73AB" w:rsidRPr="00884B26" w:rsidRDefault="002E73AB" w:rsidP="00B44B6B">
            <w:pPr>
              <w:pStyle w:val="Subheading"/>
              <w:ind w:left="0" w:firstLine="0"/>
              <w:rPr>
                <w:rFonts w:eastAsia="Arial"/>
                <w:b w:val="0"/>
                <w:sz w:val="20"/>
                <w:szCs w:val="22"/>
              </w:rPr>
            </w:pPr>
            <w:r w:rsidRPr="00884B26">
              <w:rPr>
                <w:rFonts w:eastAsia="Arial"/>
                <w:b w:val="0"/>
                <w:sz w:val="20"/>
                <w:szCs w:val="22"/>
              </w:rPr>
              <w:t>Hounslow</w:t>
            </w:r>
          </w:p>
          <w:p w:rsidR="002E73AB" w:rsidRPr="00884B26" w:rsidRDefault="002E73AB" w:rsidP="00B44B6B">
            <w:pPr>
              <w:pStyle w:val="Subheading"/>
              <w:ind w:left="0" w:firstLine="0"/>
              <w:rPr>
                <w:rFonts w:eastAsia="Arial"/>
                <w:b w:val="0"/>
                <w:sz w:val="20"/>
                <w:szCs w:val="22"/>
              </w:rPr>
            </w:pPr>
            <w:r w:rsidRPr="00884B26">
              <w:rPr>
                <w:rFonts w:eastAsia="Arial"/>
                <w:b w:val="0"/>
                <w:sz w:val="20"/>
                <w:szCs w:val="22"/>
              </w:rPr>
              <w:t>Kingston-upon-Thames</w:t>
            </w:r>
          </w:p>
          <w:p w:rsidR="002E73AB" w:rsidRDefault="002E73AB" w:rsidP="00B44B6B">
            <w:pPr>
              <w:pStyle w:val="Subheading"/>
              <w:ind w:left="0" w:firstLine="0"/>
              <w:rPr>
                <w:rFonts w:eastAsia="Arial"/>
                <w:b w:val="0"/>
                <w:sz w:val="20"/>
                <w:szCs w:val="22"/>
              </w:rPr>
            </w:pPr>
            <w:r w:rsidRPr="00884B26">
              <w:rPr>
                <w:rFonts w:eastAsia="Arial"/>
                <w:b w:val="0"/>
                <w:sz w:val="20"/>
                <w:szCs w:val="22"/>
              </w:rPr>
              <w:t>Merton</w:t>
            </w:r>
          </w:p>
          <w:p w:rsidR="002E73AB" w:rsidRPr="00884B26" w:rsidRDefault="002E73AB" w:rsidP="00B44B6B">
            <w:pPr>
              <w:pStyle w:val="Subheading"/>
              <w:ind w:left="0" w:firstLine="0"/>
              <w:rPr>
                <w:rFonts w:eastAsia="Arial"/>
                <w:b w:val="0"/>
                <w:sz w:val="20"/>
                <w:szCs w:val="22"/>
              </w:rPr>
            </w:pPr>
            <w:r>
              <w:rPr>
                <w:rFonts w:eastAsia="Arial"/>
                <w:b w:val="0"/>
                <w:sz w:val="20"/>
                <w:szCs w:val="22"/>
              </w:rPr>
              <w:t>Reading*</w:t>
            </w:r>
          </w:p>
          <w:p w:rsidR="002E73AB" w:rsidRPr="00884B26" w:rsidRDefault="002E73AB" w:rsidP="00B44B6B">
            <w:pPr>
              <w:pStyle w:val="Subheading"/>
              <w:ind w:left="0" w:firstLine="0"/>
              <w:rPr>
                <w:rFonts w:eastAsia="Arial"/>
                <w:b w:val="0"/>
                <w:sz w:val="20"/>
                <w:szCs w:val="22"/>
              </w:rPr>
            </w:pPr>
            <w:r w:rsidRPr="00884B26">
              <w:rPr>
                <w:rFonts w:eastAsia="Arial"/>
                <w:b w:val="0"/>
                <w:sz w:val="20"/>
                <w:szCs w:val="22"/>
              </w:rPr>
              <w:t>Richmond</w:t>
            </w:r>
            <w:r>
              <w:rPr>
                <w:rFonts w:eastAsia="Arial"/>
                <w:b w:val="0"/>
                <w:sz w:val="20"/>
                <w:szCs w:val="22"/>
              </w:rPr>
              <w:t>-upon-Thames</w:t>
            </w:r>
          </w:p>
          <w:p w:rsidR="002E73AB" w:rsidRPr="00884B26" w:rsidRDefault="002E73AB" w:rsidP="00B44B6B">
            <w:pPr>
              <w:pStyle w:val="Subheading"/>
              <w:ind w:left="0" w:firstLine="0"/>
              <w:rPr>
                <w:rFonts w:eastAsia="Arial"/>
                <w:b w:val="0"/>
                <w:sz w:val="20"/>
                <w:szCs w:val="22"/>
              </w:rPr>
            </w:pPr>
            <w:r w:rsidRPr="00884B26">
              <w:rPr>
                <w:rFonts w:eastAsia="Arial"/>
                <w:b w:val="0"/>
                <w:sz w:val="20"/>
                <w:szCs w:val="22"/>
              </w:rPr>
              <w:t>Runnymede</w:t>
            </w:r>
          </w:p>
          <w:p w:rsidR="002E73AB" w:rsidRDefault="002E73AB" w:rsidP="00B44B6B">
            <w:pPr>
              <w:pStyle w:val="Subheading"/>
              <w:ind w:left="0" w:firstLine="0"/>
              <w:rPr>
                <w:rFonts w:eastAsia="Arial"/>
                <w:b w:val="0"/>
                <w:sz w:val="20"/>
                <w:szCs w:val="22"/>
              </w:rPr>
            </w:pPr>
            <w:proofErr w:type="spellStart"/>
            <w:r w:rsidRPr="00884B26">
              <w:rPr>
                <w:rFonts w:eastAsia="Arial"/>
                <w:b w:val="0"/>
                <w:sz w:val="20"/>
                <w:szCs w:val="22"/>
              </w:rPr>
              <w:t>Spelthorne</w:t>
            </w:r>
            <w:proofErr w:type="spellEnd"/>
          </w:p>
          <w:p w:rsidR="002E73AB" w:rsidRDefault="002E73AB" w:rsidP="00B44B6B">
            <w:pPr>
              <w:pStyle w:val="Subheading"/>
              <w:ind w:left="0" w:firstLine="0"/>
              <w:rPr>
                <w:rFonts w:eastAsia="Arial"/>
                <w:b w:val="0"/>
                <w:sz w:val="20"/>
                <w:szCs w:val="22"/>
              </w:rPr>
            </w:pPr>
            <w:r>
              <w:rPr>
                <w:rFonts w:eastAsia="Arial"/>
                <w:b w:val="0"/>
                <w:sz w:val="20"/>
                <w:szCs w:val="22"/>
              </w:rPr>
              <w:t>St Albans*</w:t>
            </w:r>
          </w:p>
          <w:p w:rsidR="002E73AB" w:rsidRPr="00884B26" w:rsidRDefault="002E73AB" w:rsidP="00B44B6B">
            <w:pPr>
              <w:pStyle w:val="Subheading"/>
              <w:ind w:left="0" w:firstLine="0"/>
              <w:rPr>
                <w:rFonts w:eastAsia="Arial"/>
                <w:b w:val="0"/>
                <w:sz w:val="20"/>
                <w:szCs w:val="22"/>
              </w:rPr>
            </w:pPr>
            <w:r>
              <w:rPr>
                <w:rFonts w:eastAsia="Arial"/>
                <w:b w:val="0"/>
                <w:sz w:val="20"/>
                <w:szCs w:val="22"/>
              </w:rPr>
              <w:t>Watford*</w:t>
            </w:r>
          </w:p>
          <w:p w:rsidR="002E73AB" w:rsidRPr="00884B26" w:rsidRDefault="002E73AB" w:rsidP="00B44B6B">
            <w:pPr>
              <w:pStyle w:val="Subheading"/>
              <w:ind w:left="0" w:firstLine="0"/>
              <w:rPr>
                <w:rFonts w:eastAsia="Arial"/>
                <w:b w:val="0"/>
                <w:sz w:val="20"/>
                <w:szCs w:val="22"/>
              </w:rPr>
            </w:pPr>
            <w:proofErr w:type="spellStart"/>
            <w:r w:rsidRPr="00884B26">
              <w:rPr>
                <w:rFonts w:eastAsia="Arial"/>
                <w:b w:val="0"/>
                <w:sz w:val="20"/>
                <w:szCs w:val="22"/>
              </w:rPr>
              <w:t>Woking</w:t>
            </w:r>
            <w:proofErr w:type="spellEnd"/>
          </w:p>
          <w:p w:rsidR="002E73AB" w:rsidRDefault="002E73AB" w:rsidP="00B44B6B">
            <w:pPr>
              <w:pStyle w:val="Subheading"/>
              <w:ind w:left="0" w:firstLine="0"/>
              <w:rPr>
                <w:rFonts w:eastAsia="Arial"/>
                <w:b w:val="0"/>
                <w:sz w:val="20"/>
                <w:szCs w:val="22"/>
              </w:rPr>
            </w:pPr>
          </w:p>
          <w:p w:rsidR="002E73AB" w:rsidRDefault="002E73AB" w:rsidP="00B44B6B">
            <w:pPr>
              <w:pStyle w:val="Subheading"/>
              <w:ind w:left="0" w:firstLine="0"/>
              <w:rPr>
                <w:rFonts w:eastAsia="Arial"/>
                <w:b w:val="0"/>
                <w:sz w:val="20"/>
                <w:szCs w:val="22"/>
              </w:rPr>
            </w:pPr>
          </w:p>
          <w:p w:rsidR="002E73AB" w:rsidRDefault="002E73AB" w:rsidP="00B44B6B">
            <w:pPr>
              <w:pStyle w:val="Subheading"/>
              <w:ind w:left="0" w:firstLine="0"/>
              <w:rPr>
                <w:rFonts w:eastAsia="Arial"/>
                <w:b w:val="0"/>
                <w:sz w:val="20"/>
                <w:szCs w:val="22"/>
              </w:rPr>
            </w:pPr>
          </w:p>
          <w:p w:rsidR="002E73AB" w:rsidRDefault="002E73AB" w:rsidP="00B44B6B">
            <w:pPr>
              <w:pStyle w:val="Subheading"/>
              <w:ind w:left="0" w:firstLine="0"/>
              <w:rPr>
                <w:rFonts w:eastAsia="Arial"/>
                <w:b w:val="0"/>
                <w:sz w:val="20"/>
                <w:szCs w:val="22"/>
              </w:rPr>
            </w:pPr>
          </w:p>
          <w:p w:rsidR="002E73AB" w:rsidRDefault="002E73AB" w:rsidP="00B44B6B">
            <w:pPr>
              <w:pStyle w:val="Subheading"/>
              <w:ind w:left="0" w:firstLine="0"/>
              <w:rPr>
                <w:rFonts w:eastAsia="Arial"/>
                <w:b w:val="0"/>
                <w:sz w:val="20"/>
                <w:szCs w:val="22"/>
              </w:rPr>
            </w:pPr>
          </w:p>
          <w:p w:rsidR="002E73AB" w:rsidRDefault="002E73AB" w:rsidP="00B44B6B">
            <w:pPr>
              <w:pStyle w:val="Subheading"/>
              <w:ind w:left="0" w:firstLine="0"/>
              <w:rPr>
                <w:rFonts w:eastAsia="Arial"/>
                <w:b w:val="0"/>
                <w:sz w:val="20"/>
                <w:szCs w:val="22"/>
              </w:rPr>
            </w:pPr>
          </w:p>
          <w:p w:rsidR="002E73AB" w:rsidRDefault="002E73AB" w:rsidP="00B44B6B">
            <w:pPr>
              <w:pStyle w:val="Subheading"/>
              <w:ind w:left="0" w:firstLine="0"/>
              <w:rPr>
                <w:rFonts w:eastAsia="Arial"/>
                <w:b w:val="0"/>
                <w:sz w:val="20"/>
                <w:szCs w:val="22"/>
              </w:rPr>
            </w:pPr>
          </w:p>
          <w:p w:rsidR="002E73AB" w:rsidRDefault="002E73AB" w:rsidP="00B44B6B">
            <w:pPr>
              <w:pStyle w:val="Subheading"/>
              <w:ind w:left="0" w:firstLine="0"/>
              <w:rPr>
                <w:rFonts w:eastAsia="Arial"/>
                <w:b w:val="0"/>
                <w:sz w:val="20"/>
                <w:szCs w:val="22"/>
              </w:rPr>
            </w:pPr>
          </w:p>
          <w:p w:rsidR="002E73AB" w:rsidRDefault="002E73AB" w:rsidP="00B44B6B">
            <w:pPr>
              <w:pStyle w:val="Subheading"/>
              <w:ind w:left="0" w:firstLine="0"/>
              <w:rPr>
                <w:rFonts w:eastAsia="Arial"/>
                <w:b w:val="0"/>
                <w:sz w:val="20"/>
                <w:szCs w:val="22"/>
              </w:rPr>
            </w:pPr>
          </w:p>
          <w:p w:rsidR="002E73AB" w:rsidRDefault="002E73AB" w:rsidP="00B44B6B">
            <w:pPr>
              <w:pStyle w:val="Subheading"/>
              <w:ind w:left="0" w:firstLine="0"/>
              <w:rPr>
                <w:rFonts w:eastAsia="Arial"/>
                <w:b w:val="0"/>
                <w:sz w:val="20"/>
                <w:szCs w:val="22"/>
              </w:rPr>
            </w:pPr>
          </w:p>
          <w:p w:rsidR="002E73AB" w:rsidRDefault="002E73AB" w:rsidP="00B44B6B">
            <w:pPr>
              <w:pStyle w:val="Subheading"/>
              <w:ind w:left="0" w:firstLine="0"/>
              <w:rPr>
                <w:rFonts w:eastAsia="Arial"/>
                <w:b w:val="0"/>
                <w:sz w:val="20"/>
                <w:szCs w:val="22"/>
              </w:rPr>
            </w:pPr>
          </w:p>
          <w:p w:rsidR="002E73AB" w:rsidRDefault="002E73AB" w:rsidP="00B44B6B">
            <w:pPr>
              <w:pStyle w:val="Subheading"/>
              <w:ind w:left="0" w:firstLine="0"/>
              <w:rPr>
                <w:rFonts w:eastAsia="Arial"/>
                <w:b w:val="0"/>
                <w:sz w:val="20"/>
                <w:szCs w:val="22"/>
              </w:rPr>
            </w:pPr>
          </w:p>
          <w:p w:rsidR="002E73AB" w:rsidRDefault="002E73AB" w:rsidP="00B44B6B">
            <w:pPr>
              <w:pStyle w:val="Subheading"/>
              <w:ind w:left="0" w:firstLine="0"/>
              <w:rPr>
                <w:rFonts w:eastAsia="Arial"/>
                <w:b w:val="0"/>
                <w:sz w:val="20"/>
                <w:szCs w:val="22"/>
              </w:rPr>
            </w:pPr>
          </w:p>
          <w:p w:rsidR="002E73AB" w:rsidRDefault="002E73AB" w:rsidP="00B44B6B">
            <w:pPr>
              <w:pStyle w:val="Subheading"/>
              <w:ind w:left="0" w:firstLine="0"/>
              <w:rPr>
                <w:rFonts w:eastAsia="Arial"/>
                <w:b w:val="0"/>
                <w:sz w:val="20"/>
                <w:szCs w:val="22"/>
              </w:rPr>
            </w:pPr>
          </w:p>
          <w:p w:rsidR="002E73AB" w:rsidRDefault="002E73AB" w:rsidP="00B44B6B">
            <w:pPr>
              <w:pStyle w:val="Subheading"/>
              <w:ind w:left="0" w:firstLine="0"/>
              <w:rPr>
                <w:rFonts w:eastAsia="Arial"/>
                <w:b w:val="0"/>
                <w:sz w:val="20"/>
                <w:szCs w:val="22"/>
              </w:rPr>
            </w:pPr>
          </w:p>
          <w:p w:rsidR="002E73AB" w:rsidRDefault="002E73AB" w:rsidP="00B44B6B">
            <w:pPr>
              <w:pStyle w:val="Subheading"/>
              <w:ind w:left="0" w:firstLine="0"/>
              <w:rPr>
                <w:rFonts w:eastAsia="Arial"/>
                <w:b w:val="0"/>
                <w:sz w:val="20"/>
                <w:szCs w:val="22"/>
              </w:rPr>
            </w:pPr>
          </w:p>
          <w:p w:rsidR="002E73AB" w:rsidRPr="00884B26" w:rsidRDefault="002E73AB" w:rsidP="00B44B6B">
            <w:pPr>
              <w:pStyle w:val="Subheading"/>
              <w:ind w:left="0" w:firstLine="0"/>
              <w:rPr>
                <w:rFonts w:eastAsia="Arial"/>
                <w:b w:val="0"/>
                <w:sz w:val="20"/>
                <w:szCs w:val="22"/>
              </w:rPr>
            </w:pPr>
            <w:r>
              <w:rPr>
                <w:rFonts w:eastAsia="Arial"/>
                <w:b w:val="0"/>
                <w:sz w:val="20"/>
                <w:szCs w:val="22"/>
              </w:rPr>
              <w:t>*Those boroughs marked with an asterisk are to be incorporated into this sub-region as part of future integration to be covered in the next policy review.</w:t>
            </w:r>
          </w:p>
        </w:tc>
      </w:tr>
    </w:tbl>
    <w:p w:rsidR="00E5375D" w:rsidRDefault="00E5375D" w:rsidP="004946C3">
      <w:pPr>
        <w:pStyle w:val="Subheading"/>
        <w:ind w:left="855" w:firstLine="0"/>
      </w:pPr>
    </w:p>
    <w:p w:rsidR="002E73AB" w:rsidRDefault="00E5375D" w:rsidP="00E5375D">
      <w:pPr>
        <w:rPr>
          <w:b/>
          <w:sz w:val="24"/>
        </w:rPr>
      </w:pPr>
      <w:r>
        <w:br w:type="page"/>
      </w:r>
      <w:r w:rsidR="00552D63">
        <w:rPr>
          <w:b/>
          <w:sz w:val="24"/>
        </w:rPr>
        <w:lastRenderedPageBreak/>
        <w:t>Appendix 2 -</w:t>
      </w:r>
      <w:r>
        <w:rPr>
          <w:b/>
          <w:sz w:val="24"/>
        </w:rPr>
        <w:t xml:space="preserve"> Priority categories of applications</w:t>
      </w:r>
    </w:p>
    <w:tbl>
      <w:tblPr>
        <w:tblStyle w:val="TableGrid"/>
        <w:tblW w:w="0" w:type="auto"/>
        <w:tblLook w:val="04A0" w:firstRow="1" w:lastRow="0" w:firstColumn="1" w:lastColumn="0" w:noHBand="0" w:noVBand="1"/>
      </w:tblPr>
      <w:tblGrid>
        <w:gridCol w:w="1526"/>
        <w:gridCol w:w="4635"/>
        <w:gridCol w:w="3081"/>
      </w:tblGrid>
      <w:tr w:rsidR="00E5375D" w:rsidTr="00E5375D">
        <w:tc>
          <w:tcPr>
            <w:tcW w:w="1526" w:type="dxa"/>
          </w:tcPr>
          <w:p w:rsidR="00E5375D" w:rsidRDefault="00E5375D" w:rsidP="00E5375D">
            <w:pPr>
              <w:rPr>
                <w:rFonts w:eastAsia="Times New Roman" w:cs="Arial"/>
                <w:b/>
                <w:bCs/>
                <w:color w:val="000000"/>
                <w:sz w:val="24"/>
                <w:szCs w:val="24"/>
                <w:lang w:val="en-US" w:eastAsia="en-GB"/>
              </w:rPr>
            </w:pPr>
          </w:p>
        </w:tc>
        <w:tc>
          <w:tcPr>
            <w:tcW w:w="4635" w:type="dxa"/>
          </w:tcPr>
          <w:p w:rsidR="00E5375D" w:rsidRDefault="00E5375D" w:rsidP="00E5375D">
            <w:pPr>
              <w:rPr>
                <w:rFonts w:eastAsia="Times New Roman" w:cs="Arial"/>
                <w:b/>
                <w:bCs/>
                <w:color w:val="000000"/>
                <w:sz w:val="24"/>
                <w:szCs w:val="24"/>
                <w:lang w:val="en-US" w:eastAsia="en-GB"/>
              </w:rPr>
            </w:pPr>
            <w:r>
              <w:rPr>
                <w:rFonts w:eastAsia="Times New Roman" w:cs="Arial"/>
                <w:b/>
                <w:bCs/>
                <w:color w:val="000000"/>
                <w:sz w:val="24"/>
                <w:szCs w:val="24"/>
                <w:lang w:val="en-US" w:eastAsia="en-GB"/>
              </w:rPr>
              <w:t>Main criteria to be met to award:</w:t>
            </w:r>
          </w:p>
        </w:tc>
        <w:tc>
          <w:tcPr>
            <w:tcW w:w="3081" w:type="dxa"/>
          </w:tcPr>
          <w:p w:rsidR="00E5375D" w:rsidRDefault="00E5375D" w:rsidP="00E5375D">
            <w:pPr>
              <w:rPr>
                <w:rFonts w:eastAsia="Times New Roman" w:cs="Arial"/>
                <w:b/>
                <w:bCs/>
                <w:color w:val="000000"/>
                <w:sz w:val="24"/>
                <w:szCs w:val="24"/>
                <w:lang w:val="en-US" w:eastAsia="en-GB"/>
              </w:rPr>
            </w:pPr>
            <w:r>
              <w:rPr>
                <w:rFonts w:eastAsia="Times New Roman" w:cs="Arial"/>
                <w:b/>
                <w:bCs/>
                <w:color w:val="000000"/>
                <w:sz w:val="24"/>
                <w:szCs w:val="24"/>
                <w:lang w:val="en-US" w:eastAsia="en-GB"/>
              </w:rPr>
              <w:t>Sub regional variations</w:t>
            </w:r>
          </w:p>
        </w:tc>
      </w:tr>
      <w:tr w:rsidR="00E5375D" w:rsidTr="00E5375D">
        <w:tc>
          <w:tcPr>
            <w:tcW w:w="1526" w:type="dxa"/>
          </w:tcPr>
          <w:p w:rsidR="00E5375D" w:rsidRPr="00E5375D" w:rsidRDefault="00E5375D" w:rsidP="00E5375D">
            <w:pPr>
              <w:rPr>
                <w:rFonts w:eastAsia="Times New Roman" w:cs="Arial"/>
                <w:bCs/>
                <w:color w:val="000000"/>
                <w:sz w:val="24"/>
                <w:szCs w:val="24"/>
                <w:lang w:val="en-US" w:eastAsia="en-GB"/>
              </w:rPr>
            </w:pPr>
            <w:r w:rsidRPr="00E5375D">
              <w:rPr>
                <w:rFonts w:eastAsia="Times New Roman" w:cs="Arial"/>
                <w:bCs/>
                <w:color w:val="000000"/>
                <w:sz w:val="24"/>
                <w:szCs w:val="24"/>
                <w:lang w:val="en-US" w:eastAsia="en-GB"/>
              </w:rPr>
              <w:t>Category 1</w:t>
            </w:r>
          </w:p>
          <w:p w:rsidR="00E5375D" w:rsidRPr="00E5375D" w:rsidRDefault="00E5375D" w:rsidP="00E5375D">
            <w:pPr>
              <w:rPr>
                <w:rFonts w:eastAsia="Times New Roman" w:cs="Arial"/>
                <w:bCs/>
                <w:color w:val="000000"/>
                <w:sz w:val="24"/>
                <w:szCs w:val="24"/>
                <w:lang w:val="en-US" w:eastAsia="en-GB"/>
              </w:rPr>
            </w:pPr>
            <w:r w:rsidRPr="00E5375D">
              <w:rPr>
                <w:rFonts w:eastAsia="Times New Roman" w:cs="Arial"/>
                <w:bCs/>
                <w:color w:val="000000"/>
                <w:sz w:val="24"/>
                <w:szCs w:val="24"/>
                <w:lang w:val="en-US" w:eastAsia="en-GB"/>
              </w:rPr>
              <w:t>Band A</w:t>
            </w:r>
          </w:p>
          <w:p w:rsidR="00E5375D" w:rsidRPr="00E5375D" w:rsidRDefault="00E5375D" w:rsidP="00E5375D">
            <w:pPr>
              <w:rPr>
                <w:rFonts w:eastAsia="Times New Roman" w:cs="Arial"/>
                <w:bCs/>
                <w:color w:val="000000"/>
                <w:sz w:val="24"/>
                <w:szCs w:val="24"/>
                <w:lang w:val="en-US" w:eastAsia="en-GB"/>
              </w:rPr>
            </w:pPr>
            <w:r w:rsidRPr="00E5375D">
              <w:rPr>
                <w:rFonts w:eastAsia="Times New Roman" w:cs="Arial"/>
                <w:bCs/>
                <w:color w:val="000000"/>
                <w:sz w:val="24"/>
                <w:szCs w:val="24"/>
                <w:lang w:val="en-US" w:eastAsia="en-GB"/>
              </w:rPr>
              <w:t>Emergency</w:t>
            </w:r>
          </w:p>
          <w:p w:rsidR="00E5375D" w:rsidRDefault="00E5375D" w:rsidP="00E5375D">
            <w:pPr>
              <w:rPr>
                <w:rFonts w:eastAsia="Times New Roman" w:cs="Arial"/>
                <w:b/>
                <w:bCs/>
                <w:color w:val="000000"/>
                <w:sz w:val="24"/>
                <w:szCs w:val="24"/>
                <w:lang w:val="en-US" w:eastAsia="en-GB"/>
              </w:rPr>
            </w:pPr>
            <w:r w:rsidRPr="00E5375D">
              <w:rPr>
                <w:rFonts w:eastAsia="Times New Roman" w:cs="Arial"/>
                <w:bCs/>
                <w:color w:val="000000"/>
                <w:sz w:val="24"/>
                <w:szCs w:val="24"/>
                <w:lang w:val="en-US" w:eastAsia="en-GB"/>
              </w:rPr>
              <w:t>Need</w:t>
            </w:r>
          </w:p>
        </w:tc>
        <w:tc>
          <w:tcPr>
            <w:tcW w:w="4635" w:type="dxa"/>
          </w:tcPr>
          <w:p w:rsidR="00E5375D" w:rsidRDefault="00E5375D" w:rsidP="003E379D">
            <w:pPr>
              <w:pStyle w:val="ListParagraph"/>
              <w:numPr>
                <w:ilvl w:val="0"/>
                <w:numId w:val="15"/>
              </w:numPr>
              <w:ind w:left="317" w:hanging="283"/>
              <w:rPr>
                <w:rFonts w:eastAsia="Times New Roman" w:cs="Arial"/>
                <w:bCs/>
                <w:color w:val="000000"/>
                <w:szCs w:val="24"/>
                <w:lang w:val="en-US" w:eastAsia="en-GB"/>
              </w:rPr>
            </w:pPr>
            <w:r w:rsidRPr="003E379D">
              <w:rPr>
                <w:rFonts w:eastAsia="Times New Roman" w:cs="Arial"/>
                <w:bCs/>
                <w:color w:val="000000"/>
                <w:szCs w:val="24"/>
                <w:lang w:val="en-US" w:eastAsia="en-GB"/>
              </w:rPr>
              <w:t>High medical or mobility needs where life might be endangered by current accommodation (e.g. can’t evacuate in event of a fire)</w:t>
            </w:r>
            <w:r w:rsidR="003E379D">
              <w:rPr>
                <w:rFonts w:eastAsia="Times New Roman" w:cs="Arial"/>
                <w:bCs/>
                <w:color w:val="000000"/>
                <w:szCs w:val="24"/>
                <w:lang w:val="en-US" w:eastAsia="en-GB"/>
              </w:rPr>
              <w:t xml:space="preserve"> supported by professional </w:t>
            </w:r>
            <w:r w:rsidR="00E274AA">
              <w:rPr>
                <w:rFonts w:eastAsia="Times New Roman" w:cs="Arial"/>
                <w:bCs/>
                <w:color w:val="000000"/>
                <w:szCs w:val="24"/>
                <w:lang w:val="en-US" w:eastAsia="en-GB"/>
              </w:rPr>
              <w:t>review</w:t>
            </w:r>
          </w:p>
          <w:p w:rsidR="003E379D" w:rsidRDefault="003E379D" w:rsidP="003E379D">
            <w:pPr>
              <w:pStyle w:val="ListParagraph"/>
              <w:numPr>
                <w:ilvl w:val="0"/>
                <w:numId w:val="15"/>
              </w:numPr>
              <w:ind w:left="317" w:hanging="283"/>
              <w:rPr>
                <w:rFonts w:eastAsia="Times New Roman" w:cs="Arial"/>
                <w:bCs/>
                <w:color w:val="000000"/>
                <w:szCs w:val="24"/>
                <w:lang w:val="en-US" w:eastAsia="en-GB"/>
              </w:rPr>
            </w:pPr>
            <w:r>
              <w:rPr>
                <w:rFonts w:eastAsia="Times New Roman" w:cs="Arial"/>
                <w:bCs/>
                <w:color w:val="000000"/>
                <w:szCs w:val="24"/>
                <w:lang w:val="en-US" w:eastAsia="en-GB"/>
              </w:rPr>
              <w:t>Present home to be demolished or redeveloped</w:t>
            </w:r>
            <w:r w:rsidR="001C2019">
              <w:rPr>
                <w:rFonts w:eastAsia="Times New Roman" w:cs="Arial"/>
                <w:bCs/>
                <w:color w:val="000000"/>
                <w:szCs w:val="24"/>
                <w:lang w:val="en-US" w:eastAsia="en-GB"/>
              </w:rPr>
              <w:t>; or longer term emergency / disrepair works are required.</w:t>
            </w:r>
          </w:p>
          <w:p w:rsidR="003E379D" w:rsidRDefault="003E379D" w:rsidP="003E379D">
            <w:pPr>
              <w:pStyle w:val="ListParagraph"/>
              <w:numPr>
                <w:ilvl w:val="0"/>
                <w:numId w:val="15"/>
              </w:numPr>
              <w:ind w:left="317" w:hanging="283"/>
              <w:rPr>
                <w:rFonts w:eastAsia="Times New Roman" w:cs="Arial"/>
                <w:bCs/>
                <w:color w:val="000000"/>
                <w:szCs w:val="24"/>
                <w:lang w:val="en-US" w:eastAsia="en-GB"/>
              </w:rPr>
            </w:pPr>
            <w:r>
              <w:rPr>
                <w:rFonts w:eastAsia="Times New Roman" w:cs="Arial"/>
                <w:bCs/>
                <w:color w:val="000000"/>
                <w:szCs w:val="24"/>
                <w:lang w:val="en-US" w:eastAsia="en-GB"/>
              </w:rPr>
              <w:t>Under-occupying by 2 or more bedrooms</w:t>
            </w:r>
          </w:p>
          <w:p w:rsidR="003E379D" w:rsidRDefault="003E379D" w:rsidP="003E379D">
            <w:pPr>
              <w:pStyle w:val="ListParagraph"/>
              <w:numPr>
                <w:ilvl w:val="0"/>
                <w:numId w:val="15"/>
              </w:numPr>
              <w:ind w:left="317" w:hanging="283"/>
              <w:rPr>
                <w:rFonts w:eastAsia="Times New Roman" w:cs="Arial"/>
                <w:bCs/>
                <w:color w:val="000000"/>
                <w:szCs w:val="24"/>
                <w:lang w:val="en-US" w:eastAsia="en-GB"/>
              </w:rPr>
            </w:pPr>
            <w:r>
              <w:rPr>
                <w:rFonts w:eastAsia="Times New Roman" w:cs="Arial"/>
                <w:bCs/>
                <w:color w:val="000000"/>
                <w:szCs w:val="24"/>
                <w:lang w:val="en-US" w:eastAsia="en-GB"/>
              </w:rPr>
              <w:t>Management Move status – e.g. applicant affected by serious threat of DA / hate crime / violence supported by police</w:t>
            </w:r>
          </w:p>
          <w:p w:rsidR="003E379D" w:rsidRDefault="003E379D" w:rsidP="003E379D">
            <w:pPr>
              <w:pStyle w:val="ListParagraph"/>
              <w:numPr>
                <w:ilvl w:val="0"/>
                <w:numId w:val="15"/>
              </w:numPr>
              <w:ind w:left="317" w:hanging="317"/>
              <w:rPr>
                <w:rFonts w:eastAsia="Times New Roman" w:cs="Arial"/>
                <w:bCs/>
                <w:color w:val="000000"/>
                <w:szCs w:val="24"/>
                <w:lang w:val="en-US" w:eastAsia="en-GB"/>
              </w:rPr>
            </w:pPr>
            <w:r>
              <w:rPr>
                <w:rFonts w:eastAsia="Times New Roman" w:cs="Arial"/>
                <w:bCs/>
                <w:color w:val="000000"/>
                <w:szCs w:val="24"/>
                <w:lang w:val="en-US" w:eastAsia="en-GB"/>
              </w:rPr>
              <w:t xml:space="preserve">Applicants deemed to be statutory homeless </w:t>
            </w:r>
          </w:p>
          <w:p w:rsidR="003E379D" w:rsidRDefault="003E379D" w:rsidP="003E379D">
            <w:pPr>
              <w:pStyle w:val="ListParagraph"/>
              <w:numPr>
                <w:ilvl w:val="0"/>
                <w:numId w:val="15"/>
              </w:numPr>
              <w:ind w:left="317" w:hanging="317"/>
              <w:rPr>
                <w:rFonts w:eastAsia="Times New Roman" w:cs="Arial"/>
                <w:bCs/>
                <w:color w:val="000000"/>
                <w:szCs w:val="24"/>
                <w:lang w:val="en-US" w:eastAsia="en-GB"/>
              </w:rPr>
            </w:pPr>
            <w:r>
              <w:rPr>
                <w:rFonts w:eastAsia="Times New Roman" w:cs="Arial"/>
                <w:bCs/>
                <w:color w:val="000000"/>
                <w:szCs w:val="24"/>
                <w:lang w:val="en-US" w:eastAsia="en-GB"/>
              </w:rPr>
              <w:t>Emergency welfare need to move not involving external threat</w:t>
            </w:r>
          </w:p>
          <w:p w:rsidR="003E379D" w:rsidRDefault="003E379D" w:rsidP="003E379D">
            <w:pPr>
              <w:pStyle w:val="ListParagraph"/>
              <w:numPr>
                <w:ilvl w:val="0"/>
                <w:numId w:val="15"/>
              </w:numPr>
              <w:ind w:left="317" w:hanging="317"/>
              <w:rPr>
                <w:rFonts w:eastAsia="Times New Roman" w:cs="Arial"/>
                <w:bCs/>
                <w:color w:val="000000"/>
                <w:szCs w:val="24"/>
                <w:lang w:val="en-US" w:eastAsia="en-GB"/>
              </w:rPr>
            </w:pPr>
            <w:r>
              <w:rPr>
                <w:rFonts w:eastAsia="Times New Roman" w:cs="Arial"/>
                <w:bCs/>
                <w:color w:val="000000"/>
                <w:szCs w:val="24"/>
                <w:lang w:val="en-US" w:eastAsia="en-GB"/>
              </w:rPr>
              <w:t>Applicant occupies a home with significant disabled adaptations which are no longer required</w:t>
            </w:r>
          </w:p>
          <w:p w:rsidR="003E379D" w:rsidRDefault="003E379D" w:rsidP="003E379D">
            <w:pPr>
              <w:pStyle w:val="ListParagraph"/>
              <w:numPr>
                <w:ilvl w:val="0"/>
                <w:numId w:val="15"/>
              </w:numPr>
              <w:ind w:left="317" w:hanging="317"/>
              <w:rPr>
                <w:rFonts w:eastAsia="Times New Roman" w:cs="Arial"/>
                <w:bCs/>
                <w:color w:val="000000"/>
                <w:szCs w:val="24"/>
                <w:lang w:val="en-US" w:eastAsia="en-GB"/>
              </w:rPr>
            </w:pPr>
            <w:r>
              <w:rPr>
                <w:rFonts w:eastAsia="Times New Roman" w:cs="Arial"/>
                <w:bCs/>
                <w:color w:val="000000"/>
                <w:szCs w:val="24"/>
                <w:lang w:val="en-US" w:eastAsia="en-GB"/>
              </w:rPr>
              <w:t>Where a tenant has succeeded to a tenancy on the basis of a move to a smaller property which meets their housing needs</w:t>
            </w:r>
          </w:p>
          <w:p w:rsidR="001C2019" w:rsidRPr="003E379D" w:rsidRDefault="001C2019" w:rsidP="003E379D">
            <w:pPr>
              <w:pStyle w:val="ListParagraph"/>
              <w:numPr>
                <w:ilvl w:val="0"/>
                <w:numId w:val="15"/>
              </w:numPr>
              <w:ind w:left="317" w:hanging="317"/>
              <w:rPr>
                <w:rFonts w:eastAsia="Times New Roman" w:cs="Arial"/>
                <w:bCs/>
                <w:color w:val="000000"/>
                <w:szCs w:val="24"/>
                <w:lang w:val="en-US" w:eastAsia="en-GB"/>
              </w:rPr>
            </w:pPr>
            <w:r>
              <w:rPr>
                <w:rFonts w:eastAsia="Times New Roman" w:cs="Arial"/>
                <w:bCs/>
                <w:color w:val="000000"/>
                <w:szCs w:val="24"/>
                <w:lang w:val="en-US" w:eastAsia="en-GB"/>
              </w:rPr>
              <w:t>The household is overcrowded by two or more bedrooms –Midlands sub-region only</w:t>
            </w:r>
          </w:p>
          <w:p w:rsidR="00E5375D" w:rsidRPr="00E5375D" w:rsidRDefault="00E5375D" w:rsidP="00E5375D">
            <w:pPr>
              <w:rPr>
                <w:rFonts w:eastAsia="Times New Roman" w:cs="Arial"/>
                <w:bCs/>
                <w:color w:val="000000"/>
                <w:szCs w:val="24"/>
                <w:lang w:val="en-US" w:eastAsia="en-GB"/>
              </w:rPr>
            </w:pPr>
          </w:p>
        </w:tc>
        <w:tc>
          <w:tcPr>
            <w:tcW w:w="3081" w:type="dxa"/>
          </w:tcPr>
          <w:p w:rsidR="00E5375D" w:rsidRDefault="00E5375D" w:rsidP="00E5375D">
            <w:pPr>
              <w:rPr>
                <w:rFonts w:eastAsia="Times New Roman" w:cs="Arial"/>
                <w:bCs/>
                <w:color w:val="000000"/>
                <w:szCs w:val="24"/>
                <w:lang w:val="en-US" w:eastAsia="en-GB"/>
              </w:rPr>
            </w:pPr>
          </w:p>
          <w:p w:rsidR="003E379D" w:rsidRDefault="003E379D" w:rsidP="00E5375D">
            <w:pPr>
              <w:rPr>
                <w:rFonts w:eastAsia="Times New Roman" w:cs="Arial"/>
                <w:bCs/>
                <w:color w:val="000000"/>
                <w:szCs w:val="24"/>
                <w:lang w:val="en-US" w:eastAsia="en-GB"/>
              </w:rPr>
            </w:pPr>
          </w:p>
          <w:p w:rsidR="003E379D" w:rsidRDefault="003E379D" w:rsidP="00E5375D">
            <w:pPr>
              <w:rPr>
                <w:rFonts w:eastAsia="Times New Roman" w:cs="Arial"/>
                <w:bCs/>
                <w:color w:val="000000"/>
                <w:szCs w:val="24"/>
                <w:lang w:val="en-US" w:eastAsia="en-GB"/>
              </w:rPr>
            </w:pPr>
          </w:p>
          <w:p w:rsidR="003E379D" w:rsidRDefault="003E379D" w:rsidP="00E5375D">
            <w:pPr>
              <w:rPr>
                <w:rFonts w:eastAsia="Times New Roman" w:cs="Arial"/>
                <w:bCs/>
                <w:color w:val="000000"/>
                <w:szCs w:val="24"/>
                <w:lang w:val="en-US" w:eastAsia="en-GB"/>
              </w:rPr>
            </w:pPr>
          </w:p>
          <w:p w:rsidR="003E379D" w:rsidRDefault="003E379D" w:rsidP="00E5375D">
            <w:pPr>
              <w:rPr>
                <w:rFonts w:eastAsia="Times New Roman" w:cs="Arial"/>
                <w:bCs/>
                <w:color w:val="000000"/>
                <w:szCs w:val="24"/>
                <w:lang w:val="en-US" w:eastAsia="en-GB"/>
              </w:rPr>
            </w:pPr>
          </w:p>
          <w:p w:rsidR="003E379D" w:rsidRDefault="003E379D" w:rsidP="00E5375D">
            <w:pPr>
              <w:rPr>
                <w:rFonts w:eastAsia="Times New Roman" w:cs="Arial"/>
                <w:bCs/>
                <w:color w:val="000000"/>
                <w:szCs w:val="24"/>
                <w:lang w:val="en-US" w:eastAsia="en-GB"/>
              </w:rPr>
            </w:pPr>
          </w:p>
          <w:p w:rsidR="003E379D" w:rsidRDefault="003E379D" w:rsidP="00E5375D">
            <w:pPr>
              <w:rPr>
                <w:rFonts w:eastAsia="Times New Roman" w:cs="Arial"/>
                <w:bCs/>
                <w:color w:val="000000"/>
                <w:szCs w:val="24"/>
                <w:lang w:val="en-US" w:eastAsia="en-GB"/>
              </w:rPr>
            </w:pPr>
          </w:p>
          <w:p w:rsidR="003E379D" w:rsidRDefault="003E379D" w:rsidP="00E5375D">
            <w:pPr>
              <w:rPr>
                <w:rFonts w:eastAsia="Times New Roman" w:cs="Arial"/>
                <w:bCs/>
                <w:color w:val="000000"/>
                <w:szCs w:val="24"/>
                <w:lang w:val="en-US" w:eastAsia="en-GB"/>
              </w:rPr>
            </w:pPr>
          </w:p>
          <w:p w:rsidR="003E379D" w:rsidRDefault="003E379D" w:rsidP="00E5375D">
            <w:pPr>
              <w:rPr>
                <w:rFonts w:eastAsia="Times New Roman" w:cs="Arial"/>
                <w:bCs/>
                <w:color w:val="000000"/>
                <w:szCs w:val="24"/>
                <w:lang w:val="en-US" w:eastAsia="en-GB"/>
              </w:rPr>
            </w:pPr>
          </w:p>
          <w:p w:rsidR="003E379D" w:rsidRDefault="003E379D" w:rsidP="00E5375D">
            <w:pPr>
              <w:rPr>
                <w:rFonts w:eastAsia="Times New Roman" w:cs="Arial"/>
                <w:bCs/>
                <w:color w:val="000000"/>
                <w:szCs w:val="24"/>
                <w:lang w:val="en-US" w:eastAsia="en-GB"/>
              </w:rPr>
            </w:pPr>
          </w:p>
          <w:p w:rsidR="003E379D" w:rsidRDefault="003E379D" w:rsidP="00E5375D">
            <w:pPr>
              <w:rPr>
                <w:rFonts w:eastAsia="Times New Roman" w:cs="Arial"/>
                <w:bCs/>
                <w:color w:val="000000"/>
                <w:szCs w:val="24"/>
                <w:lang w:val="en-US" w:eastAsia="en-GB"/>
              </w:rPr>
            </w:pPr>
          </w:p>
          <w:p w:rsidR="001C2019" w:rsidRDefault="001C2019" w:rsidP="00E5375D">
            <w:pPr>
              <w:rPr>
                <w:rFonts w:eastAsia="Times New Roman" w:cs="Arial"/>
                <w:bCs/>
                <w:color w:val="000000"/>
                <w:szCs w:val="24"/>
                <w:lang w:val="en-US" w:eastAsia="en-GB"/>
              </w:rPr>
            </w:pPr>
          </w:p>
          <w:p w:rsidR="003E379D" w:rsidRDefault="003E379D" w:rsidP="003E379D">
            <w:pPr>
              <w:rPr>
                <w:rFonts w:eastAsia="Times New Roman" w:cs="Arial"/>
                <w:bCs/>
                <w:color w:val="000000"/>
                <w:szCs w:val="24"/>
                <w:lang w:val="en-US" w:eastAsia="en-GB"/>
              </w:rPr>
            </w:pPr>
            <w:r>
              <w:rPr>
                <w:rFonts w:eastAsia="Times New Roman" w:cs="Arial"/>
                <w:bCs/>
                <w:color w:val="000000"/>
                <w:szCs w:val="24"/>
                <w:lang w:val="en-US" w:eastAsia="en-GB"/>
              </w:rPr>
              <w:t>5. Not relevant to SE sub-region</w:t>
            </w:r>
          </w:p>
          <w:p w:rsidR="003E379D" w:rsidRDefault="003E379D" w:rsidP="003E379D">
            <w:pPr>
              <w:rPr>
                <w:rFonts w:eastAsia="Times New Roman" w:cs="Arial"/>
                <w:bCs/>
                <w:color w:val="000000"/>
                <w:szCs w:val="24"/>
                <w:lang w:val="en-US" w:eastAsia="en-GB"/>
              </w:rPr>
            </w:pPr>
          </w:p>
          <w:p w:rsidR="003E379D" w:rsidRDefault="003E379D" w:rsidP="003E379D">
            <w:pPr>
              <w:rPr>
                <w:rFonts w:eastAsia="Times New Roman" w:cs="Arial"/>
                <w:bCs/>
                <w:color w:val="000000"/>
                <w:szCs w:val="24"/>
                <w:lang w:val="en-US" w:eastAsia="en-GB"/>
              </w:rPr>
            </w:pPr>
          </w:p>
          <w:p w:rsidR="003E379D" w:rsidRDefault="003E379D" w:rsidP="003E379D">
            <w:pPr>
              <w:rPr>
                <w:rFonts w:eastAsia="Times New Roman" w:cs="Arial"/>
                <w:bCs/>
                <w:color w:val="000000"/>
                <w:szCs w:val="24"/>
                <w:lang w:val="en-US" w:eastAsia="en-GB"/>
              </w:rPr>
            </w:pPr>
          </w:p>
          <w:p w:rsidR="003E379D" w:rsidRDefault="003E379D" w:rsidP="003E379D">
            <w:pPr>
              <w:rPr>
                <w:rFonts w:eastAsia="Times New Roman" w:cs="Arial"/>
                <w:bCs/>
                <w:color w:val="000000"/>
                <w:szCs w:val="24"/>
                <w:lang w:val="en-US" w:eastAsia="en-GB"/>
              </w:rPr>
            </w:pPr>
          </w:p>
          <w:p w:rsidR="001C2019" w:rsidRDefault="001C2019" w:rsidP="003E379D">
            <w:pPr>
              <w:rPr>
                <w:rFonts w:eastAsia="Times New Roman" w:cs="Arial"/>
                <w:bCs/>
                <w:color w:val="000000"/>
                <w:szCs w:val="24"/>
                <w:lang w:val="en-US" w:eastAsia="en-GB"/>
              </w:rPr>
            </w:pPr>
          </w:p>
          <w:p w:rsidR="003E379D" w:rsidRDefault="003E379D" w:rsidP="003E379D">
            <w:pPr>
              <w:rPr>
                <w:rFonts w:eastAsia="Times New Roman" w:cs="Arial"/>
                <w:bCs/>
                <w:color w:val="000000"/>
                <w:szCs w:val="24"/>
                <w:lang w:val="en-US" w:eastAsia="en-GB"/>
              </w:rPr>
            </w:pPr>
            <w:r>
              <w:rPr>
                <w:rFonts w:eastAsia="Times New Roman" w:cs="Arial"/>
                <w:bCs/>
                <w:color w:val="000000"/>
                <w:szCs w:val="24"/>
                <w:lang w:val="en-US" w:eastAsia="en-GB"/>
              </w:rPr>
              <w:t>8. Does not apply to the Midlands sub-region</w:t>
            </w:r>
          </w:p>
          <w:p w:rsidR="003E379D" w:rsidRDefault="003E379D" w:rsidP="003E379D">
            <w:pPr>
              <w:rPr>
                <w:rFonts w:eastAsia="Times New Roman" w:cs="Arial"/>
                <w:bCs/>
                <w:color w:val="000000"/>
                <w:szCs w:val="24"/>
                <w:lang w:val="en-US" w:eastAsia="en-GB"/>
              </w:rPr>
            </w:pPr>
          </w:p>
          <w:p w:rsidR="001C2019" w:rsidRDefault="001C2019" w:rsidP="003E379D">
            <w:pPr>
              <w:rPr>
                <w:rFonts w:eastAsia="Times New Roman" w:cs="Arial"/>
                <w:bCs/>
                <w:color w:val="000000"/>
                <w:szCs w:val="24"/>
                <w:lang w:val="en-US" w:eastAsia="en-GB"/>
              </w:rPr>
            </w:pPr>
          </w:p>
          <w:p w:rsidR="001C2019" w:rsidRPr="00E5375D" w:rsidRDefault="001C2019" w:rsidP="003E379D">
            <w:pPr>
              <w:rPr>
                <w:rFonts w:eastAsia="Times New Roman" w:cs="Arial"/>
                <w:bCs/>
                <w:color w:val="000000"/>
                <w:szCs w:val="24"/>
                <w:lang w:val="en-US" w:eastAsia="en-GB"/>
              </w:rPr>
            </w:pPr>
            <w:r>
              <w:rPr>
                <w:rFonts w:eastAsia="Times New Roman" w:cs="Arial"/>
                <w:bCs/>
                <w:color w:val="000000"/>
                <w:szCs w:val="24"/>
                <w:lang w:val="en-US" w:eastAsia="en-GB"/>
              </w:rPr>
              <w:t>9. London and the SE sub-regions award up to a band B for overcrowding</w:t>
            </w:r>
          </w:p>
        </w:tc>
      </w:tr>
      <w:tr w:rsidR="00E5375D" w:rsidTr="00E5375D">
        <w:tc>
          <w:tcPr>
            <w:tcW w:w="1526" w:type="dxa"/>
          </w:tcPr>
          <w:p w:rsidR="00E5375D" w:rsidRPr="00E5375D" w:rsidRDefault="00E5375D" w:rsidP="00E5375D">
            <w:pPr>
              <w:rPr>
                <w:rFonts w:eastAsia="Times New Roman" w:cs="Arial"/>
                <w:bCs/>
                <w:color w:val="000000"/>
                <w:sz w:val="24"/>
                <w:szCs w:val="24"/>
                <w:lang w:val="en-US" w:eastAsia="en-GB"/>
              </w:rPr>
            </w:pPr>
            <w:r w:rsidRPr="00E5375D">
              <w:rPr>
                <w:rFonts w:eastAsia="Times New Roman" w:cs="Arial"/>
                <w:bCs/>
                <w:color w:val="000000"/>
                <w:sz w:val="24"/>
                <w:szCs w:val="24"/>
                <w:lang w:val="en-US" w:eastAsia="en-GB"/>
              </w:rPr>
              <w:t>Category 2</w:t>
            </w:r>
          </w:p>
          <w:p w:rsidR="00E5375D" w:rsidRPr="00E5375D" w:rsidRDefault="00E5375D" w:rsidP="00E5375D">
            <w:pPr>
              <w:rPr>
                <w:rFonts w:eastAsia="Times New Roman" w:cs="Arial"/>
                <w:bCs/>
                <w:color w:val="000000"/>
                <w:sz w:val="24"/>
                <w:szCs w:val="24"/>
                <w:lang w:val="en-US" w:eastAsia="en-GB"/>
              </w:rPr>
            </w:pPr>
            <w:r w:rsidRPr="00E5375D">
              <w:rPr>
                <w:rFonts w:eastAsia="Times New Roman" w:cs="Arial"/>
                <w:bCs/>
                <w:color w:val="000000"/>
                <w:sz w:val="24"/>
                <w:szCs w:val="24"/>
                <w:lang w:val="en-US" w:eastAsia="en-GB"/>
              </w:rPr>
              <w:t>Band B</w:t>
            </w:r>
          </w:p>
          <w:p w:rsidR="00E5375D" w:rsidRDefault="00E5375D" w:rsidP="00E5375D">
            <w:pPr>
              <w:rPr>
                <w:rFonts w:eastAsia="Times New Roman" w:cs="Arial"/>
                <w:b/>
                <w:bCs/>
                <w:color w:val="000000"/>
                <w:sz w:val="24"/>
                <w:szCs w:val="24"/>
                <w:lang w:val="en-US" w:eastAsia="en-GB"/>
              </w:rPr>
            </w:pPr>
            <w:r w:rsidRPr="00E5375D">
              <w:rPr>
                <w:rFonts w:eastAsia="Times New Roman" w:cs="Arial"/>
                <w:bCs/>
                <w:color w:val="000000"/>
                <w:sz w:val="24"/>
                <w:szCs w:val="24"/>
                <w:lang w:val="en-US" w:eastAsia="en-GB"/>
              </w:rPr>
              <w:t>Urgent Need</w:t>
            </w:r>
          </w:p>
        </w:tc>
        <w:tc>
          <w:tcPr>
            <w:tcW w:w="4635" w:type="dxa"/>
          </w:tcPr>
          <w:p w:rsidR="00E5375D" w:rsidRDefault="001C2019" w:rsidP="001C2019">
            <w:pPr>
              <w:pStyle w:val="ListParagraph"/>
              <w:numPr>
                <w:ilvl w:val="0"/>
                <w:numId w:val="16"/>
              </w:numPr>
              <w:ind w:left="317" w:hanging="283"/>
              <w:rPr>
                <w:rFonts w:eastAsia="Times New Roman" w:cs="Arial"/>
                <w:bCs/>
                <w:color w:val="000000"/>
                <w:szCs w:val="24"/>
                <w:lang w:val="en-US" w:eastAsia="en-GB"/>
              </w:rPr>
            </w:pPr>
            <w:r w:rsidRPr="001C2019">
              <w:rPr>
                <w:rFonts w:eastAsia="Times New Roman" w:cs="Arial"/>
                <w:bCs/>
                <w:color w:val="000000"/>
                <w:szCs w:val="24"/>
                <w:lang w:val="en-US" w:eastAsia="en-GB"/>
              </w:rPr>
              <w:t>The household is overcrowded by 2 or more bedrooms – London and SE sub-region only</w:t>
            </w:r>
          </w:p>
          <w:p w:rsidR="001C2019" w:rsidRDefault="00E274AA" w:rsidP="001C2019">
            <w:pPr>
              <w:pStyle w:val="ListParagraph"/>
              <w:numPr>
                <w:ilvl w:val="0"/>
                <w:numId w:val="16"/>
              </w:numPr>
              <w:ind w:left="317" w:hanging="283"/>
              <w:rPr>
                <w:rFonts w:eastAsia="Times New Roman" w:cs="Arial"/>
                <w:bCs/>
                <w:color w:val="000000"/>
                <w:szCs w:val="24"/>
                <w:lang w:val="en-US" w:eastAsia="en-GB"/>
              </w:rPr>
            </w:pPr>
            <w:r>
              <w:rPr>
                <w:rFonts w:eastAsia="Times New Roman" w:cs="Arial"/>
                <w:bCs/>
                <w:color w:val="000000"/>
                <w:szCs w:val="24"/>
                <w:lang w:val="en-US" w:eastAsia="en-GB"/>
              </w:rPr>
              <w:t>Medical needs confirmed by professional review</w:t>
            </w:r>
          </w:p>
          <w:p w:rsidR="00E274AA" w:rsidRDefault="00E274AA" w:rsidP="001C2019">
            <w:pPr>
              <w:pStyle w:val="ListParagraph"/>
              <w:numPr>
                <w:ilvl w:val="0"/>
                <w:numId w:val="16"/>
              </w:numPr>
              <w:ind w:left="317" w:hanging="283"/>
              <w:rPr>
                <w:rFonts w:eastAsia="Times New Roman" w:cs="Arial"/>
                <w:bCs/>
                <w:color w:val="000000"/>
                <w:szCs w:val="24"/>
                <w:lang w:val="en-US" w:eastAsia="en-GB"/>
              </w:rPr>
            </w:pPr>
            <w:r>
              <w:rPr>
                <w:rFonts w:eastAsia="Times New Roman" w:cs="Arial"/>
                <w:bCs/>
                <w:color w:val="000000"/>
                <w:szCs w:val="24"/>
                <w:lang w:val="en-US" w:eastAsia="en-GB"/>
              </w:rPr>
              <w:t>A welfare need where a tenancy has become unsustainable</w:t>
            </w:r>
          </w:p>
          <w:p w:rsidR="00E274AA" w:rsidRDefault="00E274AA" w:rsidP="00E274AA">
            <w:pPr>
              <w:pStyle w:val="ListParagraph"/>
              <w:numPr>
                <w:ilvl w:val="0"/>
                <w:numId w:val="16"/>
              </w:numPr>
              <w:ind w:left="317" w:hanging="283"/>
              <w:rPr>
                <w:rFonts w:eastAsia="Times New Roman" w:cs="Arial"/>
                <w:bCs/>
                <w:color w:val="000000"/>
                <w:szCs w:val="24"/>
                <w:lang w:val="en-US" w:eastAsia="en-GB"/>
              </w:rPr>
            </w:pPr>
            <w:r>
              <w:rPr>
                <w:rFonts w:eastAsia="Times New Roman" w:cs="Arial"/>
                <w:bCs/>
                <w:color w:val="000000"/>
                <w:szCs w:val="24"/>
                <w:lang w:val="en-US" w:eastAsia="en-GB"/>
              </w:rPr>
              <w:t>Applicant is suffering on-going ASB affecting their ability to work, serious harassment, supporting evidence needed</w:t>
            </w:r>
          </w:p>
          <w:p w:rsidR="00E274AA" w:rsidRDefault="008529F7" w:rsidP="00E274AA">
            <w:pPr>
              <w:pStyle w:val="ListParagraph"/>
              <w:numPr>
                <w:ilvl w:val="0"/>
                <w:numId w:val="16"/>
              </w:numPr>
              <w:ind w:left="317" w:hanging="283"/>
              <w:rPr>
                <w:rFonts w:eastAsia="Times New Roman" w:cs="Arial"/>
                <w:bCs/>
                <w:color w:val="000000"/>
                <w:szCs w:val="24"/>
                <w:lang w:val="en-US" w:eastAsia="en-GB"/>
              </w:rPr>
            </w:pPr>
            <w:r>
              <w:rPr>
                <w:rFonts w:eastAsia="Times New Roman" w:cs="Arial"/>
                <w:bCs/>
                <w:color w:val="000000"/>
                <w:szCs w:val="24"/>
                <w:lang w:val="en-US" w:eastAsia="en-GB"/>
              </w:rPr>
              <w:t>Applicants who are ready to move on, either from supported housing or prison, support and risk plans to be provided</w:t>
            </w:r>
          </w:p>
          <w:p w:rsidR="008529F7" w:rsidRDefault="008529F7" w:rsidP="00E274AA">
            <w:pPr>
              <w:pStyle w:val="ListParagraph"/>
              <w:numPr>
                <w:ilvl w:val="0"/>
                <w:numId w:val="16"/>
              </w:numPr>
              <w:ind w:left="317" w:hanging="283"/>
              <w:rPr>
                <w:rFonts w:eastAsia="Times New Roman" w:cs="Arial"/>
                <w:bCs/>
                <w:color w:val="000000"/>
                <w:szCs w:val="24"/>
                <w:lang w:val="en-US" w:eastAsia="en-GB"/>
              </w:rPr>
            </w:pPr>
            <w:r>
              <w:rPr>
                <w:rFonts w:eastAsia="Times New Roman" w:cs="Arial"/>
                <w:bCs/>
                <w:color w:val="000000"/>
                <w:szCs w:val="24"/>
                <w:lang w:val="en-US" w:eastAsia="en-GB"/>
              </w:rPr>
              <w:t>Under-occupying by one bedroom</w:t>
            </w:r>
          </w:p>
          <w:p w:rsidR="008529F7" w:rsidRDefault="008529F7" w:rsidP="00E274AA">
            <w:pPr>
              <w:pStyle w:val="ListParagraph"/>
              <w:numPr>
                <w:ilvl w:val="0"/>
                <w:numId w:val="16"/>
              </w:numPr>
              <w:ind w:left="317" w:hanging="283"/>
              <w:rPr>
                <w:rFonts w:eastAsia="Times New Roman" w:cs="Arial"/>
                <w:bCs/>
                <w:color w:val="000000"/>
                <w:szCs w:val="24"/>
                <w:lang w:val="en-US" w:eastAsia="en-GB"/>
              </w:rPr>
            </w:pPr>
            <w:r>
              <w:rPr>
                <w:rFonts w:eastAsia="Times New Roman" w:cs="Arial"/>
                <w:bCs/>
                <w:color w:val="000000"/>
                <w:szCs w:val="24"/>
                <w:lang w:val="en-US" w:eastAsia="en-GB"/>
              </w:rPr>
              <w:t>Applicants who are leaving the armed forces</w:t>
            </w:r>
          </w:p>
          <w:p w:rsidR="008529F7" w:rsidRDefault="008529F7" w:rsidP="00E274AA">
            <w:pPr>
              <w:pStyle w:val="ListParagraph"/>
              <w:numPr>
                <w:ilvl w:val="0"/>
                <w:numId w:val="16"/>
              </w:numPr>
              <w:ind w:left="317" w:hanging="283"/>
              <w:rPr>
                <w:rFonts w:eastAsia="Times New Roman" w:cs="Arial"/>
                <w:bCs/>
                <w:color w:val="000000"/>
                <w:szCs w:val="24"/>
                <w:lang w:val="en-US" w:eastAsia="en-GB"/>
              </w:rPr>
            </w:pPr>
            <w:r>
              <w:rPr>
                <w:rFonts w:eastAsia="Times New Roman" w:cs="Arial"/>
                <w:bCs/>
                <w:color w:val="000000"/>
                <w:szCs w:val="24"/>
                <w:lang w:val="en-US" w:eastAsia="en-GB"/>
              </w:rPr>
              <w:t>Applicants who are sofa-surfing, of no fixed abode, or in temporary housing</w:t>
            </w:r>
          </w:p>
          <w:p w:rsidR="008529F7" w:rsidRDefault="008529F7" w:rsidP="00E274AA">
            <w:pPr>
              <w:pStyle w:val="ListParagraph"/>
              <w:numPr>
                <w:ilvl w:val="0"/>
                <w:numId w:val="16"/>
              </w:numPr>
              <w:ind w:left="317" w:hanging="283"/>
              <w:rPr>
                <w:rFonts w:eastAsia="Times New Roman" w:cs="Arial"/>
                <w:bCs/>
                <w:color w:val="000000"/>
                <w:szCs w:val="24"/>
                <w:lang w:val="en-US" w:eastAsia="en-GB"/>
              </w:rPr>
            </w:pPr>
            <w:r>
              <w:rPr>
                <w:rFonts w:eastAsia="Times New Roman" w:cs="Arial"/>
                <w:bCs/>
                <w:color w:val="000000"/>
                <w:szCs w:val="24"/>
                <w:lang w:val="en-US" w:eastAsia="en-GB"/>
              </w:rPr>
              <w:t>Applicants relocating to take up employment</w:t>
            </w:r>
          </w:p>
          <w:p w:rsidR="008529F7" w:rsidRPr="001C2019" w:rsidRDefault="008529F7" w:rsidP="008529F7">
            <w:pPr>
              <w:pStyle w:val="ListParagraph"/>
              <w:numPr>
                <w:ilvl w:val="0"/>
                <w:numId w:val="16"/>
              </w:numPr>
              <w:ind w:left="317" w:hanging="425"/>
              <w:rPr>
                <w:rFonts w:eastAsia="Times New Roman" w:cs="Arial"/>
                <w:bCs/>
                <w:color w:val="000000"/>
                <w:szCs w:val="24"/>
                <w:lang w:val="en-US" w:eastAsia="en-GB"/>
              </w:rPr>
            </w:pPr>
            <w:r>
              <w:rPr>
                <w:rFonts w:eastAsia="Times New Roman" w:cs="Arial"/>
                <w:bCs/>
                <w:color w:val="000000"/>
                <w:szCs w:val="24"/>
                <w:lang w:val="en-US" w:eastAsia="en-GB"/>
              </w:rPr>
              <w:t>The household is overcrowded by one bedroom – Midlands sub-region only</w:t>
            </w:r>
          </w:p>
        </w:tc>
        <w:tc>
          <w:tcPr>
            <w:tcW w:w="3081" w:type="dxa"/>
          </w:tcPr>
          <w:p w:rsidR="00E5375D" w:rsidRDefault="00E5375D" w:rsidP="00E5375D">
            <w:pPr>
              <w:rPr>
                <w:rFonts w:eastAsia="Times New Roman" w:cs="Arial"/>
                <w:bCs/>
                <w:color w:val="000000"/>
                <w:szCs w:val="24"/>
                <w:lang w:val="en-US" w:eastAsia="en-GB"/>
              </w:rPr>
            </w:pPr>
          </w:p>
          <w:p w:rsidR="00E274AA" w:rsidRDefault="00E274AA" w:rsidP="00E5375D">
            <w:pPr>
              <w:rPr>
                <w:rFonts w:eastAsia="Times New Roman" w:cs="Arial"/>
                <w:bCs/>
                <w:color w:val="000000"/>
                <w:szCs w:val="24"/>
                <w:lang w:val="en-US" w:eastAsia="en-GB"/>
              </w:rPr>
            </w:pPr>
          </w:p>
          <w:p w:rsidR="00E274AA" w:rsidRDefault="00E274AA" w:rsidP="00E5375D">
            <w:pPr>
              <w:rPr>
                <w:rFonts w:eastAsia="Times New Roman" w:cs="Arial"/>
                <w:bCs/>
                <w:color w:val="000000"/>
                <w:szCs w:val="24"/>
                <w:lang w:val="en-US" w:eastAsia="en-GB"/>
              </w:rPr>
            </w:pPr>
          </w:p>
          <w:p w:rsidR="00E274AA" w:rsidRDefault="00E274AA" w:rsidP="00E5375D">
            <w:pPr>
              <w:rPr>
                <w:rFonts w:eastAsia="Times New Roman" w:cs="Arial"/>
                <w:bCs/>
                <w:color w:val="000000"/>
                <w:szCs w:val="24"/>
                <w:lang w:val="en-US" w:eastAsia="en-GB"/>
              </w:rPr>
            </w:pPr>
          </w:p>
          <w:p w:rsidR="00E274AA" w:rsidRDefault="00E274AA" w:rsidP="00E5375D">
            <w:pPr>
              <w:rPr>
                <w:rFonts w:eastAsia="Times New Roman" w:cs="Arial"/>
                <w:bCs/>
                <w:color w:val="000000"/>
                <w:szCs w:val="24"/>
                <w:lang w:val="en-US" w:eastAsia="en-GB"/>
              </w:rPr>
            </w:pPr>
          </w:p>
          <w:p w:rsidR="00E274AA" w:rsidRDefault="00E274AA" w:rsidP="00E5375D">
            <w:pPr>
              <w:rPr>
                <w:rFonts w:eastAsia="Times New Roman" w:cs="Arial"/>
                <w:bCs/>
                <w:color w:val="000000"/>
                <w:szCs w:val="24"/>
                <w:lang w:val="en-US" w:eastAsia="en-GB"/>
              </w:rPr>
            </w:pPr>
            <w:r>
              <w:rPr>
                <w:rFonts w:eastAsia="Times New Roman" w:cs="Arial"/>
                <w:bCs/>
                <w:color w:val="000000"/>
                <w:szCs w:val="24"/>
                <w:lang w:val="en-US" w:eastAsia="en-GB"/>
              </w:rPr>
              <w:t>3. Only applicable in the SE sub-region</w:t>
            </w:r>
          </w:p>
          <w:p w:rsidR="008529F7" w:rsidRDefault="008529F7" w:rsidP="00E5375D">
            <w:pPr>
              <w:rPr>
                <w:rFonts w:eastAsia="Times New Roman" w:cs="Arial"/>
                <w:bCs/>
                <w:color w:val="000000"/>
                <w:szCs w:val="24"/>
                <w:lang w:val="en-US" w:eastAsia="en-GB"/>
              </w:rPr>
            </w:pPr>
          </w:p>
          <w:p w:rsidR="008529F7" w:rsidRDefault="008529F7" w:rsidP="00E5375D">
            <w:pPr>
              <w:rPr>
                <w:rFonts w:eastAsia="Times New Roman" w:cs="Arial"/>
                <w:bCs/>
                <w:color w:val="000000"/>
                <w:szCs w:val="24"/>
                <w:lang w:val="en-US" w:eastAsia="en-GB"/>
              </w:rPr>
            </w:pPr>
          </w:p>
          <w:p w:rsidR="008529F7" w:rsidRDefault="008529F7" w:rsidP="00E5375D">
            <w:pPr>
              <w:rPr>
                <w:rFonts w:eastAsia="Times New Roman" w:cs="Arial"/>
                <w:bCs/>
                <w:color w:val="000000"/>
                <w:szCs w:val="24"/>
                <w:lang w:val="en-US" w:eastAsia="en-GB"/>
              </w:rPr>
            </w:pPr>
          </w:p>
          <w:p w:rsidR="008529F7" w:rsidRDefault="008529F7" w:rsidP="00E5375D">
            <w:pPr>
              <w:rPr>
                <w:rFonts w:eastAsia="Times New Roman" w:cs="Arial"/>
                <w:bCs/>
                <w:color w:val="000000"/>
                <w:szCs w:val="24"/>
                <w:lang w:val="en-US" w:eastAsia="en-GB"/>
              </w:rPr>
            </w:pPr>
          </w:p>
          <w:p w:rsidR="008529F7" w:rsidRDefault="008529F7" w:rsidP="00E5375D">
            <w:pPr>
              <w:rPr>
                <w:rFonts w:eastAsia="Times New Roman" w:cs="Arial"/>
                <w:bCs/>
                <w:color w:val="000000"/>
                <w:szCs w:val="24"/>
                <w:lang w:val="en-US" w:eastAsia="en-GB"/>
              </w:rPr>
            </w:pPr>
          </w:p>
          <w:p w:rsidR="008529F7" w:rsidRDefault="008529F7" w:rsidP="00E5375D">
            <w:pPr>
              <w:rPr>
                <w:rFonts w:eastAsia="Times New Roman" w:cs="Arial"/>
                <w:bCs/>
                <w:color w:val="000000"/>
                <w:szCs w:val="24"/>
                <w:lang w:val="en-US" w:eastAsia="en-GB"/>
              </w:rPr>
            </w:pPr>
          </w:p>
          <w:p w:rsidR="008529F7" w:rsidRDefault="008529F7" w:rsidP="00E5375D">
            <w:pPr>
              <w:rPr>
                <w:rFonts w:eastAsia="Times New Roman" w:cs="Arial"/>
                <w:bCs/>
                <w:color w:val="000000"/>
                <w:szCs w:val="24"/>
                <w:lang w:val="en-US" w:eastAsia="en-GB"/>
              </w:rPr>
            </w:pPr>
          </w:p>
          <w:p w:rsidR="008529F7" w:rsidRDefault="008529F7" w:rsidP="008529F7">
            <w:pPr>
              <w:rPr>
                <w:rFonts w:eastAsia="Times New Roman" w:cs="Arial"/>
                <w:bCs/>
                <w:color w:val="000000"/>
                <w:szCs w:val="24"/>
                <w:lang w:val="en-US" w:eastAsia="en-GB"/>
              </w:rPr>
            </w:pPr>
            <w:r>
              <w:rPr>
                <w:rFonts w:eastAsia="Times New Roman" w:cs="Arial"/>
                <w:bCs/>
                <w:color w:val="000000"/>
                <w:szCs w:val="24"/>
                <w:lang w:val="en-US" w:eastAsia="en-GB"/>
              </w:rPr>
              <w:t>7. Does not apply in the SE</w:t>
            </w:r>
            <w:r w:rsidR="0011226D">
              <w:rPr>
                <w:rFonts w:eastAsia="Times New Roman" w:cs="Arial"/>
                <w:bCs/>
                <w:color w:val="000000"/>
                <w:szCs w:val="24"/>
                <w:lang w:val="en-US" w:eastAsia="en-GB"/>
              </w:rPr>
              <w:t xml:space="preserve"> or London</w:t>
            </w:r>
            <w:r>
              <w:rPr>
                <w:rFonts w:eastAsia="Times New Roman" w:cs="Arial"/>
                <w:bCs/>
                <w:color w:val="000000"/>
                <w:szCs w:val="24"/>
                <w:lang w:val="en-US" w:eastAsia="en-GB"/>
              </w:rPr>
              <w:t xml:space="preserve"> sub-region</w:t>
            </w:r>
          </w:p>
          <w:p w:rsidR="008529F7" w:rsidRDefault="008529F7" w:rsidP="008529F7">
            <w:pPr>
              <w:rPr>
                <w:rFonts w:eastAsia="Times New Roman" w:cs="Arial"/>
                <w:bCs/>
                <w:color w:val="000000"/>
                <w:szCs w:val="24"/>
                <w:lang w:val="en-US" w:eastAsia="en-GB"/>
              </w:rPr>
            </w:pPr>
            <w:r>
              <w:rPr>
                <w:rFonts w:eastAsia="Times New Roman" w:cs="Arial"/>
                <w:bCs/>
                <w:color w:val="000000"/>
                <w:szCs w:val="24"/>
                <w:lang w:val="en-US" w:eastAsia="en-GB"/>
              </w:rPr>
              <w:t xml:space="preserve">8. </w:t>
            </w:r>
            <w:r w:rsidR="0011226D">
              <w:rPr>
                <w:rFonts w:eastAsia="Times New Roman" w:cs="Arial"/>
                <w:bCs/>
                <w:color w:val="000000"/>
                <w:szCs w:val="24"/>
                <w:lang w:val="en-US" w:eastAsia="en-GB"/>
              </w:rPr>
              <w:t>Does not apply in the SE or London sub-region</w:t>
            </w:r>
          </w:p>
          <w:p w:rsidR="008529F7" w:rsidRDefault="008529F7" w:rsidP="008529F7">
            <w:pPr>
              <w:rPr>
                <w:rFonts w:eastAsia="Times New Roman" w:cs="Arial"/>
                <w:bCs/>
                <w:color w:val="000000"/>
                <w:szCs w:val="24"/>
                <w:lang w:val="en-US" w:eastAsia="en-GB"/>
              </w:rPr>
            </w:pPr>
            <w:r>
              <w:rPr>
                <w:rFonts w:eastAsia="Times New Roman" w:cs="Arial"/>
                <w:bCs/>
                <w:color w:val="000000"/>
                <w:szCs w:val="24"/>
                <w:lang w:val="en-US" w:eastAsia="en-GB"/>
              </w:rPr>
              <w:t xml:space="preserve">9. </w:t>
            </w:r>
            <w:r w:rsidR="0011226D">
              <w:rPr>
                <w:rFonts w:eastAsia="Times New Roman" w:cs="Arial"/>
                <w:bCs/>
                <w:color w:val="000000"/>
                <w:szCs w:val="24"/>
                <w:lang w:val="en-US" w:eastAsia="en-GB"/>
              </w:rPr>
              <w:t>Does not apply in the SE or London sub-region</w:t>
            </w:r>
          </w:p>
          <w:p w:rsidR="008529F7" w:rsidRPr="00E5375D" w:rsidRDefault="008529F7" w:rsidP="008529F7">
            <w:pPr>
              <w:rPr>
                <w:rFonts w:eastAsia="Times New Roman" w:cs="Arial"/>
                <w:bCs/>
                <w:color w:val="000000"/>
                <w:szCs w:val="24"/>
                <w:lang w:val="en-US" w:eastAsia="en-GB"/>
              </w:rPr>
            </w:pPr>
          </w:p>
        </w:tc>
      </w:tr>
      <w:tr w:rsidR="00E5375D" w:rsidTr="00E5375D">
        <w:tc>
          <w:tcPr>
            <w:tcW w:w="1526" w:type="dxa"/>
          </w:tcPr>
          <w:p w:rsidR="00E5375D" w:rsidRDefault="00E5375D" w:rsidP="00E5375D">
            <w:pPr>
              <w:rPr>
                <w:rFonts w:eastAsia="Times New Roman" w:cs="Arial"/>
                <w:bCs/>
                <w:color w:val="000000"/>
                <w:sz w:val="24"/>
                <w:szCs w:val="24"/>
                <w:lang w:val="en-US" w:eastAsia="en-GB"/>
              </w:rPr>
            </w:pPr>
            <w:r>
              <w:rPr>
                <w:rFonts w:eastAsia="Times New Roman" w:cs="Arial"/>
                <w:bCs/>
                <w:color w:val="000000"/>
                <w:sz w:val="24"/>
                <w:szCs w:val="24"/>
                <w:lang w:val="en-US" w:eastAsia="en-GB"/>
              </w:rPr>
              <w:t>Category 3</w:t>
            </w:r>
          </w:p>
          <w:p w:rsidR="00E5375D" w:rsidRDefault="00E5375D" w:rsidP="00E5375D">
            <w:pPr>
              <w:rPr>
                <w:rFonts w:eastAsia="Times New Roman" w:cs="Arial"/>
                <w:bCs/>
                <w:color w:val="000000"/>
                <w:sz w:val="24"/>
                <w:szCs w:val="24"/>
                <w:lang w:val="en-US" w:eastAsia="en-GB"/>
              </w:rPr>
            </w:pPr>
            <w:r>
              <w:rPr>
                <w:rFonts w:eastAsia="Times New Roman" w:cs="Arial"/>
                <w:bCs/>
                <w:color w:val="000000"/>
                <w:sz w:val="24"/>
                <w:szCs w:val="24"/>
                <w:lang w:val="en-US" w:eastAsia="en-GB"/>
              </w:rPr>
              <w:t>Band C</w:t>
            </w:r>
          </w:p>
          <w:p w:rsidR="00E5375D" w:rsidRDefault="00E5375D" w:rsidP="00E5375D">
            <w:pPr>
              <w:rPr>
                <w:rFonts w:eastAsia="Times New Roman" w:cs="Arial"/>
                <w:bCs/>
                <w:color w:val="000000"/>
                <w:sz w:val="24"/>
                <w:szCs w:val="24"/>
                <w:lang w:val="en-US" w:eastAsia="en-GB"/>
              </w:rPr>
            </w:pPr>
            <w:r>
              <w:rPr>
                <w:rFonts w:eastAsia="Times New Roman" w:cs="Arial"/>
                <w:bCs/>
                <w:color w:val="000000"/>
                <w:sz w:val="24"/>
                <w:szCs w:val="24"/>
                <w:lang w:val="en-US" w:eastAsia="en-GB"/>
              </w:rPr>
              <w:t>Identified</w:t>
            </w:r>
          </w:p>
          <w:p w:rsidR="00E5375D" w:rsidRPr="00E5375D" w:rsidRDefault="00E5375D" w:rsidP="00E5375D">
            <w:pPr>
              <w:rPr>
                <w:rFonts w:eastAsia="Times New Roman" w:cs="Arial"/>
                <w:bCs/>
                <w:color w:val="000000"/>
                <w:sz w:val="24"/>
                <w:szCs w:val="24"/>
                <w:lang w:val="en-US" w:eastAsia="en-GB"/>
              </w:rPr>
            </w:pPr>
            <w:r>
              <w:rPr>
                <w:rFonts w:eastAsia="Times New Roman" w:cs="Arial"/>
                <w:bCs/>
                <w:color w:val="000000"/>
                <w:sz w:val="24"/>
                <w:szCs w:val="24"/>
                <w:lang w:val="en-US" w:eastAsia="en-GB"/>
              </w:rPr>
              <w:t>Need</w:t>
            </w:r>
          </w:p>
        </w:tc>
        <w:tc>
          <w:tcPr>
            <w:tcW w:w="4635" w:type="dxa"/>
          </w:tcPr>
          <w:p w:rsidR="00E5375D" w:rsidRDefault="008529F7" w:rsidP="008529F7">
            <w:pPr>
              <w:pStyle w:val="ListParagraph"/>
              <w:numPr>
                <w:ilvl w:val="0"/>
                <w:numId w:val="17"/>
              </w:numPr>
              <w:ind w:left="317" w:hanging="317"/>
              <w:rPr>
                <w:rFonts w:eastAsia="Times New Roman" w:cs="Arial"/>
                <w:bCs/>
                <w:color w:val="000000"/>
                <w:szCs w:val="24"/>
                <w:lang w:val="en-US" w:eastAsia="en-GB"/>
              </w:rPr>
            </w:pPr>
            <w:r w:rsidRPr="008529F7">
              <w:rPr>
                <w:rFonts w:eastAsia="Times New Roman" w:cs="Arial"/>
                <w:bCs/>
                <w:color w:val="000000"/>
                <w:szCs w:val="24"/>
                <w:lang w:val="en-US" w:eastAsia="en-GB"/>
              </w:rPr>
              <w:t>The household is overcrowded by one bedroom – London and SE sub-region only</w:t>
            </w:r>
          </w:p>
          <w:p w:rsidR="008529F7" w:rsidRDefault="008529F7" w:rsidP="008529F7">
            <w:pPr>
              <w:pStyle w:val="ListParagraph"/>
              <w:numPr>
                <w:ilvl w:val="0"/>
                <w:numId w:val="17"/>
              </w:numPr>
              <w:ind w:left="317" w:hanging="317"/>
              <w:rPr>
                <w:rFonts w:eastAsia="Times New Roman" w:cs="Arial"/>
                <w:bCs/>
                <w:color w:val="000000"/>
                <w:szCs w:val="24"/>
                <w:lang w:val="en-US" w:eastAsia="en-GB"/>
              </w:rPr>
            </w:pPr>
            <w:r>
              <w:rPr>
                <w:rFonts w:eastAsia="Times New Roman" w:cs="Arial"/>
                <w:bCs/>
                <w:color w:val="000000"/>
                <w:szCs w:val="24"/>
                <w:lang w:val="en-US" w:eastAsia="en-GB"/>
              </w:rPr>
              <w:t xml:space="preserve">Low level medical / mobility need confirmed by </w:t>
            </w:r>
            <w:r w:rsidR="000A4B32">
              <w:rPr>
                <w:rFonts w:eastAsia="Times New Roman" w:cs="Arial"/>
                <w:bCs/>
                <w:color w:val="000000"/>
                <w:szCs w:val="24"/>
                <w:lang w:val="en-US" w:eastAsia="en-GB"/>
              </w:rPr>
              <w:t>professional review</w:t>
            </w:r>
          </w:p>
          <w:p w:rsidR="000A4B32" w:rsidRDefault="000A4B32" w:rsidP="008529F7">
            <w:pPr>
              <w:pStyle w:val="ListParagraph"/>
              <w:numPr>
                <w:ilvl w:val="0"/>
                <w:numId w:val="17"/>
              </w:numPr>
              <w:ind w:left="317" w:hanging="317"/>
              <w:rPr>
                <w:rFonts w:eastAsia="Times New Roman" w:cs="Arial"/>
                <w:bCs/>
                <w:color w:val="000000"/>
                <w:szCs w:val="24"/>
                <w:lang w:val="en-US" w:eastAsia="en-GB"/>
              </w:rPr>
            </w:pPr>
            <w:r>
              <w:rPr>
                <w:rFonts w:eastAsia="Times New Roman" w:cs="Arial"/>
                <w:bCs/>
                <w:color w:val="000000"/>
                <w:szCs w:val="24"/>
                <w:lang w:val="en-US" w:eastAsia="en-GB"/>
              </w:rPr>
              <w:lastRenderedPageBreak/>
              <w:t>Low level but persistent anti-social behavior and options such as mediation have been tried</w:t>
            </w:r>
          </w:p>
          <w:p w:rsidR="000A4B32" w:rsidRDefault="000A4B32" w:rsidP="008529F7">
            <w:pPr>
              <w:pStyle w:val="ListParagraph"/>
              <w:numPr>
                <w:ilvl w:val="0"/>
                <w:numId w:val="17"/>
              </w:numPr>
              <w:ind w:left="317" w:hanging="317"/>
              <w:rPr>
                <w:rFonts w:eastAsia="Times New Roman" w:cs="Arial"/>
                <w:bCs/>
                <w:color w:val="000000"/>
                <w:szCs w:val="24"/>
                <w:lang w:val="en-US" w:eastAsia="en-GB"/>
              </w:rPr>
            </w:pPr>
            <w:r>
              <w:rPr>
                <w:rFonts w:eastAsia="Times New Roman" w:cs="Arial"/>
                <w:bCs/>
                <w:color w:val="000000"/>
                <w:szCs w:val="24"/>
                <w:lang w:val="en-US" w:eastAsia="en-GB"/>
              </w:rPr>
              <w:t>Applicants wishing to transfer to Independent Living for older people who have no other housing need</w:t>
            </w:r>
          </w:p>
          <w:p w:rsidR="000A4B32" w:rsidRDefault="000A4B32" w:rsidP="008529F7">
            <w:pPr>
              <w:pStyle w:val="ListParagraph"/>
              <w:numPr>
                <w:ilvl w:val="0"/>
                <w:numId w:val="17"/>
              </w:numPr>
              <w:ind w:left="317" w:hanging="317"/>
              <w:rPr>
                <w:rFonts w:eastAsia="Times New Roman" w:cs="Arial"/>
                <w:bCs/>
                <w:color w:val="000000"/>
                <w:szCs w:val="24"/>
                <w:lang w:val="en-US" w:eastAsia="en-GB"/>
              </w:rPr>
            </w:pPr>
            <w:r>
              <w:rPr>
                <w:rFonts w:eastAsia="Times New Roman" w:cs="Arial"/>
                <w:bCs/>
                <w:color w:val="000000"/>
                <w:szCs w:val="24"/>
                <w:lang w:val="en-US" w:eastAsia="en-GB"/>
              </w:rPr>
              <w:t>Where there is a social or welfare need linked to a specific location away from the current home e.g. to access family support or support service facilities</w:t>
            </w:r>
          </w:p>
          <w:p w:rsidR="000A4B32" w:rsidRDefault="000A4B32" w:rsidP="008529F7">
            <w:pPr>
              <w:pStyle w:val="ListParagraph"/>
              <w:numPr>
                <w:ilvl w:val="0"/>
                <w:numId w:val="17"/>
              </w:numPr>
              <w:ind w:left="317" w:hanging="317"/>
              <w:rPr>
                <w:rFonts w:eastAsia="Times New Roman" w:cs="Arial"/>
                <w:bCs/>
                <w:color w:val="000000"/>
                <w:szCs w:val="24"/>
                <w:lang w:val="en-US" w:eastAsia="en-GB"/>
              </w:rPr>
            </w:pPr>
            <w:r>
              <w:rPr>
                <w:rFonts w:eastAsia="Times New Roman" w:cs="Arial"/>
                <w:bCs/>
                <w:color w:val="000000"/>
                <w:szCs w:val="24"/>
                <w:lang w:val="en-US" w:eastAsia="en-GB"/>
              </w:rPr>
              <w:t>Where an applicant has been approved for adoption, confirmation from adoption panel required</w:t>
            </w:r>
          </w:p>
          <w:p w:rsidR="000A4B32" w:rsidRDefault="000A4B32" w:rsidP="008529F7">
            <w:pPr>
              <w:pStyle w:val="ListParagraph"/>
              <w:numPr>
                <w:ilvl w:val="0"/>
                <w:numId w:val="17"/>
              </w:numPr>
              <w:ind w:left="317" w:hanging="317"/>
              <w:rPr>
                <w:rFonts w:eastAsia="Times New Roman" w:cs="Arial"/>
                <w:bCs/>
                <w:color w:val="000000"/>
                <w:szCs w:val="24"/>
                <w:lang w:val="en-US" w:eastAsia="en-GB"/>
              </w:rPr>
            </w:pPr>
            <w:r>
              <w:rPr>
                <w:rFonts w:eastAsia="Times New Roman" w:cs="Arial"/>
                <w:bCs/>
                <w:color w:val="000000"/>
                <w:szCs w:val="24"/>
                <w:lang w:val="en-US" w:eastAsia="en-GB"/>
              </w:rPr>
              <w:t>Applicants living with family and friends who have been asked to leave</w:t>
            </w:r>
          </w:p>
          <w:p w:rsidR="000A4B32" w:rsidRDefault="000A4B32" w:rsidP="008529F7">
            <w:pPr>
              <w:pStyle w:val="ListParagraph"/>
              <w:numPr>
                <w:ilvl w:val="0"/>
                <w:numId w:val="17"/>
              </w:numPr>
              <w:ind w:left="317" w:hanging="317"/>
              <w:rPr>
                <w:rFonts w:eastAsia="Times New Roman" w:cs="Arial"/>
                <w:bCs/>
                <w:color w:val="000000"/>
                <w:szCs w:val="24"/>
                <w:lang w:val="en-US" w:eastAsia="en-GB"/>
              </w:rPr>
            </w:pPr>
            <w:r>
              <w:rPr>
                <w:rFonts w:eastAsia="Times New Roman" w:cs="Arial"/>
                <w:bCs/>
                <w:color w:val="000000"/>
                <w:szCs w:val="24"/>
                <w:lang w:val="en-US" w:eastAsia="en-GB"/>
              </w:rPr>
              <w:t>Non-dependent children (18+) who are looking for a first time tenancy</w:t>
            </w:r>
          </w:p>
          <w:p w:rsidR="00AE699C" w:rsidRPr="008529F7" w:rsidRDefault="00AE699C" w:rsidP="00AE699C">
            <w:pPr>
              <w:pStyle w:val="ListParagraph"/>
              <w:numPr>
                <w:ilvl w:val="0"/>
                <w:numId w:val="17"/>
              </w:numPr>
              <w:ind w:left="317" w:hanging="317"/>
              <w:rPr>
                <w:rFonts w:eastAsia="Times New Roman" w:cs="Arial"/>
                <w:bCs/>
                <w:color w:val="000000"/>
                <w:szCs w:val="24"/>
                <w:lang w:val="en-US" w:eastAsia="en-GB"/>
              </w:rPr>
            </w:pPr>
            <w:r>
              <w:rPr>
                <w:rFonts w:eastAsia="Times New Roman" w:cs="Arial"/>
                <w:bCs/>
                <w:color w:val="000000"/>
                <w:szCs w:val="24"/>
                <w:lang w:val="en-US" w:eastAsia="en-GB"/>
              </w:rPr>
              <w:t xml:space="preserve">Applicants with any other </w:t>
            </w:r>
            <w:r w:rsidRPr="00AE699C">
              <w:rPr>
                <w:rFonts w:eastAsia="Times New Roman" w:cs="Arial"/>
                <w:bCs/>
                <w:color w:val="000000"/>
                <w:szCs w:val="24"/>
                <w:lang w:eastAsia="en-GB"/>
              </w:rPr>
              <w:t>recognised</w:t>
            </w:r>
            <w:r>
              <w:rPr>
                <w:rFonts w:eastAsia="Times New Roman" w:cs="Arial"/>
                <w:bCs/>
                <w:color w:val="000000"/>
                <w:szCs w:val="24"/>
                <w:lang w:eastAsia="en-GB"/>
              </w:rPr>
              <w:t xml:space="preserve"> housing needs can be added to this category</w:t>
            </w:r>
            <w:r>
              <w:rPr>
                <w:rFonts w:eastAsia="Times New Roman" w:cs="Arial"/>
                <w:bCs/>
                <w:color w:val="000000"/>
                <w:szCs w:val="24"/>
                <w:lang w:val="en-US" w:eastAsia="en-GB"/>
              </w:rPr>
              <w:t xml:space="preserve"> </w:t>
            </w:r>
          </w:p>
        </w:tc>
        <w:tc>
          <w:tcPr>
            <w:tcW w:w="3081" w:type="dxa"/>
          </w:tcPr>
          <w:p w:rsidR="00E5375D" w:rsidRDefault="00E5375D" w:rsidP="00E5375D">
            <w:pPr>
              <w:rPr>
                <w:rFonts w:eastAsia="Times New Roman" w:cs="Arial"/>
                <w:bCs/>
                <w:color w:val="000000"/>
                <w:szCs w:val="24"/>
                <w:lang w:val="en-US" w:eastAsia="en-GB"/>
              </w:rPr>
            </w:pPr>
          </w:p>
          <w:p w:rsidR="000A4B32" w:rsidRDefault="000A4B32" w:rsidP="00E5375D">
            <w:pPr>
              <w:rPr>
                <w:rFonts w:eastAsia="Times New Roman" w:cs="Arial"/>
                <w:bCs/>
                <w:color w:val="000000"/>
                <w:szCs w:val="24"/>
                <w:lang w:val="en-US" w:eastAsia="en-GB"/>
              </w:rPr>
            </w:pPr>
          </w:p>
          <w:p w:rsidR="000A4B32" w:rsidRDefault="000A4B32" w:rsidP="00E5375D">
            <w:pPr>
              <w:rPr>
                <w:rFonts w:eastAsia="Times New Roman" w:cs="Arial"/>
                <w:bCs/>
                <w:color w:val="000000"/>
                <w:szCs w:val="24"/>
                <w:lang w:val="en-US" w:eastAsia="en-GB"/>
              </w:rPr>
            </w:pPr>
          </w:p>
          <w:p w:rsidR="000A4B32" w:rsidRDefault="000A4B32" w:rsidP="00E5375D">
            <w:pPr>
              <w:rPr>
                <w:rFonts w:eastAsia="Times New Roman" w:cs="Arial"/>
                <w:bCs/>
                <w:color w:val="000000"/>
                <w:szCs w:val="24"/>
                <w:lang w:val="en-US" w:eastAsia="en-GB"/>
              </w:rPr>
            </w:pPr>
          </w:p>
          <w:p w:rsidR="000A4B32" w:rsidRDefault="000A4B32" w:rsidP="00E5375D">
            <w:pPr>
              <w:rPr>
                <w:rFonts w:eastAsia="Times New Roman" w:cs="Arial"/>
                <w:bCs/>
                <w:color w:val="000000"/>
                <w:szCs w:val="24"/>
                <w:lang w:val="en-US" w:eastAsia="en-GB"/>
              </w:rPr>
            </w:pPr>
          </w:p>
          <w:p w:rsidR="000A4B32" w:rsidRDefault="000A4B32" w:rsidP="00E5375D">
            <w:pPr>
              <w:rPr>
                <w:rFonts w:eastAsia="Times New Roman" w:cs="Arial"/>
                <w:bCs/>
                <w:color w:val="000000"/>
                <w:szCs w:val="24"/>
                <w:lang w:val="en-US" w:eastAsia="en-GB"/>
              </w:rPr>
            </w:pPr>
          </w:p>
          <w:p w:rsidR="000A4B32" w:rsidRDefault="000A4B32" w:rsidP="00E5375D">
            <w:pPr>
              <w:rPr>
                <w:rFonts w:eastAsia="Times New Roman" w:cs="Arial"/>
                <w:bCs/>
                <w:color w:val="000000"/>
                <w:szCs w:val="24"/>
                <w:lang w:val="en-US" w:eastAsia="en-GB"/>
              </w:rPr>
            </w:pPr>
          </w:p>
          <w:p w:rsidR="000A4B32" w:rsidRDefault="000A4B32" w:rsidP="00E5375D">
            <w:pPr>
              <w:rPr>
                <w:rFonts w:eastAsia="Times New Roman" w:cs="Arial"/>
                <w:bCs/>
                <w:color w:val="000000"/>
                <w:szCs w:val="24"/>
                <w:lang w:val="en-US" w:eastAsia="en-GB"/>
              </w:rPr>
            </w:pPr>
          </w:p>
          <w:p w:rsidR="000A4B32" w:rsidRDefault="000A4B32" w:rsidP="00E5375D">
            <w:pPr>
              <w:rPr>
                <w:rFonts w:eastAsia="Times New Roman" w:cs="Arial"/>
                <w:bCs/>
                <w:color w:val="000000"/>
                <w:szCs w:val="24"/>
                <w:lang w:val="en-US" w:eastAsia="en-GB"/>
              </w:rPr>
            </w:pPr>
          </w:p>
          <w:p w:rsidR="000A4B32" w:rsidRDefault="000A4B32" w:rsidP="00E5375D">
            <w:pPr>
              <w:rPr>
                <w:rFonts w:eastAsia="Times New Roman" w:cs="Arial"/>
                <w:bCs/>
                <w:color w:val="000000"/>
                <w:szCs w:val="24"/>
                <w:lang w:val="en-US" w:eastAsia="en-GB"/>
              </w:rPr>
            </w:pPr>
          </w:p>
          <w:p w:rsidR="000A4B32" w:rsidRDefault="000A4B32" w:rsidP="00E5375D">
            <w:pPr>
              <w:rPr>
                <w:rFonts w:eastAsia="Times New Roman" w:cs="Arial"/>
                <w:bCs/>
                <w:color w:val="000000"/>
                <w:szCs w:val="24"/>
                <w:lang w:val="en-US" w:eastAsia="en-GB"/>
              </w:rPr>
            </w:pPr>
          </w:p>
          <w:p w:rsidR="000A4B32" w:rsidRDefault="000A4B32" w:rsidP="00E5375D">
            <w:pPr>
              <w:rPr>
                <w:rFonts w:eastAsia="Times New Roman" w:cs="Arial"/>
                <w:bCs/>
                <w:color w:val="000000"/>
                <w:szCs w:val="24"/>
                <w:lang w:val="en-US" w:eastAsia="en-GB"/>
              </w:rPr>
            </w:pPr>
          </w:p>
          <w:p w:rsidR="000A4B32" w:rsidRDefault="000A4B32" w:rsidP="00E5375D">
            <w:pPr>
              <w:rPr>
                <w:rFonts w:eastAsia="Times New Roman" w:cs="Arial"/>
                <w:bCs/>
                <w:color w:val="000000"/>
                <w:szCs w:val="24"/>
                <w:lang w:val="en-US" w:eastAsia="en-GB"/>
              </w:rPr>
            </w:pPr>
          </w:p>
          <w:p w:rsidR="000A4B32" w:rsidRDefault="000A4B32" w:rsidP="00E5375D">
            <w:pPr>
              <w:rPr>
                <w:rFonts w:eastAsia="Times New Roman" w:cs="Arial"/>
                <w:bCs/>
                <w:color w:val="000000"/>
                <w:szCs w:val="24"/>
                <w:lang w:val="en-US" w:eastAsia="en-GB"/>
              </w:rPr>
            </w:pPr>
          </w:p>
          <w:p w:rsidR="000A4B32" w:rsidRDefault="000A4B32" w:rsidP="00E5375D">
            <w:pPr>
              <w:rPr>
                <w:rFonts w:eastAsia="Times New Roman" w:cs="Arial"/>
                <w:bCs/>
                <w:color w:val="000000"/>
                <w:szCs w:val="24"/>
                <w:lang w:val="en-US" w:eastAsia="en-GB"/>
              </w:rPr>
            </w:pPr>
          </w:p>
          <w:p w:rsidR="000A4B32" w:rsidRDefault="000A4B32" w:rsidP="00E5375D">
            <w:pPr>
              <w:rPr>
                <w:rFonts w:eastAsia="Times New Roman" w:cs="Arial"/>
                <w:bCs/>
                <w:color w:val="000000"/>
                <w:szCs w:val="24"/>
                <w:lang w:val="en-US" w:eastAsia="en-GB"/>
              </w:rPr>
            </w:pPr>
            <w:r>
              <w:rPr>
                <w:rFonts w:eastAsia="Times New Roman" w:cs="Arial"/>
                <w:bCs/>
                <w:color w:val="000000"/>
                <w:szCs w:val="24"/>
                <w:lang w:val="en-US" w:eastAsia="en-GB"/>
              </w:rPr>
              <w:t xml:space="preserve">6. Does not apply in the SE </w:t>
            </w:r>
            <w:r w:rsidR="0011226D">
              <w:rPr>
                <w:rFonts w:eastAsia="Times New Roman" w:cs="Arial"/>
                <w:bCs/>
                <w:color w:val="000000"/>
                <w:szCs w:val="24"/>
                <w:lang w:val="en-US" w:eastAsia="en-GB"/>
              </w:rPr>
              <w:t xml:space="preserve">or London </w:t>
            </w:r>
            <w:r>
              <w:rPr>
                <w:rFonts w:eastAsia="Times New Roman" w:cs="Arial"/>
                <w:bCs/>
                <w:color w:val="000000"/>
                <w:szCs w:val="24"/>
                <w:lang w:val="en-US" w:eastAsia="en-GB"/>
              </w:rPr>
              <w:t>sub-region</w:t>
            </w:r>
            <w:r w:rsidR="0011226D">
              <w:rPr>
                <w:rFonts w:eastAsia="Times New Roman" w:cs="Arial"/>
                <w:bCs/>
                <w:color w:val="000000"/>
                <w:szCs w:val="24"/>
                <w:lang w:val="en-US" w:eastAsia="en-GB"/>
              </w:rPr>
              <w:t>s</w:t>
            </w:r>
          </w:p>
          <w:p w:rsidR="000A4B32" w:rsidRDefault="000A4B32" w:rsidP="00E5375D">
            <w:pPr>
              <w:rPr>
                <w:rFonts w:eastAsia="Times New Roman" w:cs="Arial"/>
                <w:bCs/>
                <w:color w:val="000000"/>
                <w:szCs w:val="24"/>
                <w:lang w:val="en-US" w:eastAsia="en-GB"/>
              </w:rPr>
            </w:pPr>
          </w:p>
          <w:p w:rsidR="000A4B32" w:rsidRDefault="0011226D" w:rsidP="00E5375D">
            <w:pPr>
              <w:rPr>
                <w:rFonts w:eastAsia="Times New Roman" w:cs="Arial"/>
                <w:bCs/>
                <w:color w:val="000000"/>
                <w:szCs w:val="24"/>
                <w:lang w:val="en-US" w:eastAsia="en-GB"/>
              </w:rPr>
            </w:pPr>
            <w:r>
              <w:rPr>
                <w:rFonts w:eastAsia="Times New Roman" w:cs="Arial"/>
                <w:bCs/>
                <w:color w:val="000000"/>
                <w:szCs w:val="24"/>
                <w:lang w:val="en-US" w:eastAsia="en-GB"/>
              </w:rPr>
              <w:t>7. Midlands only</w:t>
            </w:r>
          </w:p>
          <w:p w:rsidR="000A4B32" w:rsidRDefault="000A4B32" w:rsidP="00E5375D">
            <w:pPr>
              <w:rPr>
                <w:rFonts w:eastAsia="Times New Roman" w:cs="Arial"/>
                <w:bCs/>
                <w:color w:val="000000"/>
                <w:szCs w:val="24"/>
                <w:lang w:val="en-US" w:eastAsia="en-GB"/>
              </w:rPr>
            </w:pPr>
          </w:p>
          <w:p w:rsidR="000A4B32" w:rsidRDefault="0011226D" w:rsidP="00E5375D">
            <w:pPr>
              <w:rPr>
                <w:rFonts w:eastAsia="Times New Roman" w:cs="Arial"/>
                <w:bCs/>
                <w:color w:val="000000"/>
                <w:szCs w:val="24"/>
                <w:lang w:val="en-US" w:eastAsia="en-GB"/>
              </w:rPr>
            </w:pPr>
            <w:r>
              <w:rPr>
                <w:rFonts w:eastAsia="Times New Roman" w:cs="Arial"/>
                <w:bCs/>
                <w:color w:val="000000"/>
                <w:szCs w:val="24"/>
                <w:lang w:val="en-US" w:eastAsia="en-GB"/>
              </w:rPr>
              <w:t>8. Midlands only</w:t>
            </w:r>
          </w:p>
          <w:p w:rsidR="00AE699C" w:rsidRDefault="00AE699C" w:rsidP="00E5375D">
            <w:pPr>
              <w:rPr>
                <w:rFonts w:eastAsia="Times New Roman" w:cs="Arial"/>
                <w:bCs/>
                <w:color w:val="000000"/>
                <w:szCs w:val="24"/>
                <w:lang w:val="en-US" w:eastAsia="en-GB"/>
              </w:rPr>
            </w:pPr>
          </w:p>
          <w:p w:rsidR="00AE699C" w:rsidRDefault="0011226D" w:rsidP="00E5375D">
            <w:pPr>
              <w:rPr>
                <w:rFonts w:eastAsia="Times New Roman" w:cs="Arial"/>
                <w:bCs/>
                <w:color w:val="000000"/>
                <w:szCs w:val="24"/>
                <w:lang w:val="en-US" w:eastAsia="en-GB"/>
              </w:rPr>
            </w:pPr>
            <w:r>
              <w:rPr>
                <w:rFonts w:eastAsia="Times New Roman" w:cs="Arial"/>
                <w:bCs/>
                <w:color w:val="000000"/>
                <w:szCs w:val="24"/>
                <w:lang w:val="en-US" w:eastAsia="en-GB"/>
              </w:rPr>
              <w:t>9. Midlands only</w:t>
            </w:r>
          </w:p>
          <w:p w:rsidR="00AE699C" w:rsidRPr="00E5375D" w:rsidRDefault="00AE699C" w:rsidP="00E5375D">
            <w:pPr>
              <w:rPr>
                <w:rFonts w:eastAsia="Times New Roman" w:cs="Arial"/>
                <w:bCs/>
                <w:color w:val="000000"/>
                <w:szCs w:val="24"/>
                <w:lang w:val="en-US" w:eastAsia="en-GB"/>
              </w:rPr>
            </w:pPr>
          </w:p>
        </w:tc>
      </w:tr>
      <w:tr w:rsidR="00E5375D" w:rsidTr="00E5375D">
        <w:tc>
          <w:tcPr>
            <w:tcW w:w="1526" w:type="dxa"/>
          </w:tcPr>
          <w:p w:rsidR="00E5375D" w:rsidRDefault="00E5375D" w:rsidP="00E5375D">
            <w:pPr>
              <w:rPr>
                <w:rFonts w:eastAsia="Times New Roman" w:cs="Arial"/>
                <w:bCs/>
                <w:color w:val="000000"/>
                <w:sz w:val="24"/>
                <w:szCs w:val="24"/>
                <w:lang w:val="en-US" w:eastAsia="en-GB"/>
              </w:rPr>
            </w:pPr>
            <w:r>
              <w:rPr>
                <w:rFonts w:eastAsia="Times New Roman" w:cs="Arial"/>
                <w:bCs/>
                <w:color w:val="000000"/>
                <w:sz w:val="24"/>
                <w:szCs w:val="24"/>
                <w:lang w:val="en-US" w:eastAsia="en-GB"/>
              </w:rPr>
              <w:lastRenderedPageBreak/>
              <w:t>Category 4</w:t>
            </w:r>
          </w:p>
          <w:p w:rsidR="00E5375D" w:rsidRDefault="00E5375D" w:rsidP="00E5375D">
            <w:pPr>
              <w:rPr>
                <w:rFonts w:eastAsia="Times New Roman" w:cs="Arial"/>
                <w:bCs/>
                <w:color w:val="000000"/>
                <w:sz w:val="24"/>
                <w:szCs w:val="24"/>
                <w:lang w:val="en-US" w:eastAsia="en-GB"/>
              </w:rPr>
            </w:pPr>
            <w:r>
              <w:rPr>
                <w:rFonts w:eastAsia="Times New Roman" w:cs="Arial"/>
                <w:bCs/>
                <w:color w:val="000000"/>
                <w:sz w:val="24"/>
                <w:szCs w:val="24"/>
                <w:lang w:val="en-US" w:eastAsia="en-GB"/>
              </w:rPr>
              <w:t>Band D</w:t>
            </w:r>
          </w:p>
          <w:p w:rsidR="00E5375D" w:rsidRPr="00E5375D" w:rsidRDefault="00E5375D" w:rsidP="00E5375D">
            <w:pPr>
              <w:rPr>
                <w:rFonts w:eastAsia="Times New Roman" w:cs="Arial"/>
                <w:bCs/>
                <w:color w:val="000000"/>
                <w:sz w:val="24"/>
                <w:szCs w:val="24"/>
                <w:lang w:val="en-US" w:eastAsia="en-GB"/>
              </w:rPr>
            </w:pPr>
            <w:r>
              <w:rPr>
                <w:rFonts w:eastAsia="Times New Roman" w:cs="Arial"/>
                <w:bCs/>
                <w:color w:val="000000"/>
                <w:sz w:val="24"/>
                <w:szCs w:val="24"/>
                <w:lang w:val="en-US" w:eastAsia="en-GB"/>
              </w:rPr>
              <w:t>Key worker / Choice Plus applicants</w:t>
            </w:r>
          </w:p>
        </w:tc>
        <w:tc>
          <w:tcPr>
            <w:tcW w:w="4635" w:type="dxa"/>
          </w:tcPr>
          <w:p w:rsidR="00E5375D" w:rsidRPr="001B7ABF" w:rsidRDefault="001A0971" w:rsidP="001B7ABF">
            <w:pPr>
              <w:pStyle w:val="ListParagraph"/>
              <w:numPr>
                <w:ilvl w:val="0"/>
                <w:numId w:val="18"/>
              </w:numPr>
              <w:ind w:left="317" w:hanging="317"/>
              <w:rPr>
                <w:rFonts w:eastAsia="Times New Roman" w:cs="Arial"/>
                <w:bCs/>
                <w:color w:val="000000"/>
                <w:szCs w:val="24"/>
                <w:lang w:val="en-US" w:eastAsia="en-GB"/>
              </w:rPr>
            </w:pPr>
            <w:r w:rsidRPr="001B7ABF">
              <w:rPr>
                <w:rFonts w:eastAsia="Times New Roman" w:cs="Arial"/>
                <w:bCs/>
                <w:color w:val="000000"/>
                <w:szCs w:val="24"/>
                <w:lang w:val="en-US" w:eastAsia="en-GB"/>
              </w:rPr>
              <w:t>All Key workers seeking accommodation</w:t>
            </w:r>
          </w:p>
          <w:p w:rsidR="001B7ABF" w:rsidRDefault="001B7ABF" w:rsidP="001B7ABF">
            <w:pPr>
              <w:pStyle w:val="ListParagraph"/>
              <w:numPr>
                <w:ilvl w:val="0"/>
                <w:numId w:val="18"/>
              </w:numPr>
              <w:ind w:left="317" w:hanging="317"/>
              <w:rPr>
                <w:rFonts w:eastAsia="Times New Roman" w:cs="Arial"/>
                <w:bCs/>
                <w:color w:val="000000"/>
                <w:szCs w:val="24"/>
                <w:lang w:val="en-US" w:eastAsia="en-GB"/>
              </w:rPr>
            </w:pPr>
            <w:r>
              <w:rPr>
                <w:rFonts w:eastAsia="Times New Roman" w:cs="Arial"/>
                <w:bCs/>
                <w:color w:val="000000"/>
                <w:szCs w:val="24"/>
                <w:lang w:val="en-US" w:eastAsia="en-GB"/>
              </w:rPr>
              <w:t>Applicants in full or part time employment (16 hours or more per week) for at least 12 months</w:t>
            </w:r>
          </w:p>
          <w:p w:rsidR="001B7ABF" w:rsidRDefault="001B7ABF" w:rsidP="001B7ABF">
            <w:pPr>
              <w:pStyle w:val="ListParagraph"/>
              <w:numPr>
                <w:ilvl w:val="0"/>
                <w:numId w:val="18"/>
              </w:numPr>
              <w:ind w:left="317" w:hanging="317"/>
              <w:rPr>
                <w:rFonts w:eastAsia="Times New Roman" w:cs="Arial"/>
                <w:bCs/>
                <w:color w:val="000000"/>
                <w:szCs w:val="24"/>
                <w:lang w:val="en-US" w:eastAsia="en-GB"/>
              </w:rPr>
            </w:pPr>
            <w:r>
              <w:rPr>
                <w:rFonts w:eastAsia="Times New Roman" w:cs="Arial"/>
                <w:bCs/>
                <w:color w:val="000000"/>
                <w:szCs w:val="24"/>
                <w:lang w:val="en-US" w:eastAsia="en-GB"/>
              </w:rPr>
              <w:t>Applicants who have volunteered for community work for 16 or more hours per month for at least 6 months</w:t>
            </w:r>
          </w:p>
          <w:p w:rsidR="001B7ABF" w:rsidRDefault="001B7ABF" w:rsidP="001B7ABF">
            <w:pPr>
              <w:pStyle w:val="ListParagraph"/>
              <w:numPr>
                <w:ilvl w:val="0"/>
                <w:numId w:val="18"/>
              </w:numPr>
              <w:ind w:left="317" w:hanging="317"/>
              <w:rPr>
                <w:rFonts w:eastAsia="Times New Roman" w:cs="Arial"/>
                <w:bCs/>
                <w:color w:val="000000"/>
                <w:szCs w:val="24"/>
                <w:lang w:val="en-US" w:eastAsia="en-GB"/>
              </w:rPr>
            </w:pPr>
            <w:r>
              <w:rPr>
                <w:rFonts w:eastAsia="Times New Roman" w:cs="Arial"/>
                <w:bCs/>
                <w:color w:val="000000"/>
                <w:szCs w:val="24"/>
                <w:lang w:val="en-US" w:eastAsia="en-GB"/>
              </w:rPr>
              <w:t>Applicants who are running a business within the local community</w:t>
            </w:r>
          </w:p>
          <w:p w:rsidR="001B7ABF" w:rsidRDefault="001B7ABF" w:rsidP="001B7ABF">
            <w:pPr>
              <w:pStyle w:val="ListParagraph"/>
              <w:numPr>
                <w:ilvl w:val="0"/>
                <w:numId w:val="18"/>
              </w:numPr>
              <w:ind w:left="317" w:hanging="317"/>
              <w:rPr>
                <w:rFonts w:eastAsia="Times New Roman" w:cs="Arial"/>
                <w:bCs/>
                <w:color w:val="000000"/>
                <w:szCs w:val="24"/>
                <w:lang w:val="en-US" w:eastAsia="en-GB"/>
              </w:rPr>
            </w:pPr>
            <w:r>
              <w:rPr>
                <w:rFonts w:eastAsia="Times New Roman" w:cs="Arial"/>
                <w:bCs/>
                <w:color w:val="000000"/>
                <w:szCs w:val="24"/>
                <w:lang w:val="en-US" w:eastAsia="en-GB"/>
              </w:rPr>
              <w:t>Applicants who are renting privately and current rent is greater than 40% of their income</w:t>
            </w:r>
          </w:p>
          <w:p w:rsidR="001B7ABF" w:rsidRPr="001B7ABF" w:rsidRDefault="001B7ABF" w:rsidP="001B7ABF">
            <w:pPr>
              <w:pStyle w:val="ListParagraph"/>
              <w:numPr>
                <w:ilvl w:val="0"/>
                <w:numId w:val="18"/>
              </w:numPr>
              <w:ind w:left="317" w:hanging="317"/>
              <w:rPr>
                <w:rFonts w:eastAsia="Times New Roman" w:cs="Arial"/>
                <w:bCs/>
                <w:color w:val="000000"/>
                <w:szCs w:val="24"/>
                <w:lang w:val="en-US" w:eastAsia="en-GB"/>
              </w:rPr>
            </w:pPr>
            <w:r>
              <w:rPr>
                <w:rFonts w:eastAsia="Times New Roman" w:cs="Arial"/>
                <w:bCs/>
                <w:color w:val="000000"/>
                <w:szCs w:val="24"/>
                <w:lang w:val="en-US" w:eastAsia="en-GB"/>
              </w:rPr>
              <w:t>Existing tenants who have demonstrated positive behavior and want to move but do not have a housing need</w:t>
            </w:r>
          </w:p>
        </w:tc>
        <w:tc>
          <w:tcPr>
            <w:tcW w:w="3081" w:type="dxa"/>
          </w:tcPr>
          <w:p w:rsidR="00E5375D" w:rsidRDefault="00E5375D" w:rsidP="00E5375D">
            <w:pPr>
              <w:rPr>
                <w:rFonts w:eastAsia="Times New Roman" w:cs="Arial"/>
                <w:bCs/>
                <w:color w:val="000000"/>
                <w:szCs w:val="24"/>
                <w:lang w:val="en-US" w:eastAsia="en-GB"/>
              </w:rPr>
            </w:pPr>
          </w:p>
          <w:p w:rsidR="001B7ABF" w:rsidRDefault="001B7ABF" w:rsidP="001B7ABF">
            <w:pPr>
              <w:rPr>
                <w:rFonts w:eastAsia="Times New Roman" w:cs="Arial"/>
                <w:bCs/>
                <w:color w:val="000000"/>
                <w:szCs w:val="24"/>
                <w:lang w:val="en-US" w:eastAsia="en-GB"/>
              </w:rPr>
            </w:pPr>
            <w:r>
              <w:rPr>
                <w:rFonts w:eastAsia="Times New Roman" w:cs="Arial"/>
                <w:bCs/>
                <w:color w:val="000000"/>
                <w:szCs w:val="24"/>
                <w:lang w:val="en-US" w:eastAsia="en-GB"/>
              </w:rPr>
              <w:t>2. Does not apply in the SE</w:t>
            </w:r>
            <w:r w:rsidR="0011226D">
              <w:rPr>
                <w:rFonts w:eastAsia="Times New Roman" w:cs="Arial"/>
                <w:bCs/>
                <w:color w:val="000000"/>
                <w:szCs w:val="24"/>
                <w:lang w:val="en-US" w:eastAsia="en-GB"/>
              </w:rPr>
              <w:t xml:space="preserve"> or London</w:t>
            </w:r>
            <w:r>
              <w:rPr>
                <w:rFonts w:eastAsia="Times New Roman" w:cs="Arial"/>
                <w:bCs/>
                <w:color w:val="000000"/>
                <w:szCs w:val="24"/>
                <w:lang w:val="en-US" w:eastAsia="en-GB"/>
              </w:rPr>
              <w:t xml:space="preserve"> sub-region</w:t>
            </w:r>
            <w:r w:rsidR="0011226D">
              <w:rPr>
                <w:rFonts w:eastAsia="Times New Roman" w:cs="Arial"/>
                <w:bCs/>
                <w:color w:val="000000"/>
                <w:szCs w:val="24"/>
                <w:lang w:val="en-US" w:eastAsia="en-GB"/>
              </w:rPr>
              <w:t>s</w:t>
            </w:r>
          </w:p>
          <w:p w:rsidR="001B7ABF" w:rsidRDefault="001B7ABF" w:rsidP="001B7ABF">
            <w:pPr>
              <w:rPr>
                <w:rFonts w:eastAsia="Times New Roman" w:cs="Arial"/>
                <w:bCs/>
                <w:color w:val="000000"/>
                <w:szCs w:val="24"/>
                <w:lang w:val="en-US" w:eastAsia="en-GB"/>
              </w:rPr>
            </w:pPr>
          </w:p>
          <w:p w:rsidR="0011226D" w:rsidRDefault="0011226D" w:rsidP="0011226D">
            <w:pPr>
              <w:rPr>
                <w:rFonts w:eastAsia="Times New Roman" w:cs="Arial"/>
                <w:bCs/>
                <w:color w:val="000000"/>
                <w:szCs w:val="24"/>
                <w:lang w:val="en-US" w:eastAsia="en-GB"/>
              </w:rPr>
            </w:pPr>
            <w:r>
              <w:rPr>
                <w:rFonts w:eastAsia="Times New Roman" w:cs="Arial"/>
                <w:bCs/>
                <w:color w:val="000000"/>
                <w:szCs w:val="24"/>
                <w:lang w:val="en-US" w:eastAsia="en-GB"/>
              </w:rPr>
              <w:t>3.Does not apply in the SE or London sub-regions</w:t>
            </w:r>
          </w:p>
          <w:p w:rsidR="001B7ABF" w:rsidRDefault="001B7ABF" w:rsidP="001B7ABF">
            <w:pPr>
              <w:rPr>
                <w:rFonts w:eastAsia="Times New Roman" w:cs="Arial"/>
                <w:bCs/>
                <w:color w:val="000000"/>
                <w:szCs w:val="24"/>
                <w:lang w:val="en-US" w:eastAsia="en-GB"/>
              </w:rPr>
            </w:pPr>
          </w:p>
          <w:p w:rsidR="001B7ABF" w:rsidRDefault="001B7ABF" w:rsidP="001B7ABF">
            <w:pPr>
              <w:rPr>
                <w:rFonts w:eastAsia="Times New Roman" w:cs="Arial"/>
                <w:bCs/>
                <w:color w:val="000000"/>
                <w:szCs w:val="24"/>
                <w:lang w:val="en-US" w:eastAsia="en-GB"/>
              </w:rPr>
            </w:pPr>
          </w:p>
          <w:p w:rsidR="001B7ABF" w:rsidRDefault="001B7ABF" w:rsidP="001B7ABF">
            <w:pPr>
              <w:rPr>
                <w:rFonts w:eastAsia="Times New Roman" w:cs="Arial"/>
                <w:bCs/>
                <w:color w:val="000000"/>
                <w:szCs w:val="24"/>
                <w:lang w:val="en-US" w:eastAsia="en-GB"/>
              </w:rPr>
            </w:pPr>
            <w:r>
              <w:rPr>
                <w:rFonts w:eastAsia="Times New Roman" w:cs="Arial"/>
                <w:bCs/>
                <w:color w:val="000000"/>
                <w:szCs w:val="24"/>
                <w:lang w:val="en-US" w:eastAsia="en-GB"/>
              </w:rPr>
              <w:t xml:space="preserve">4. </w:t>
            </w:r>
            <w:r w:rsidR="0011226D">
              <w:rPr>
                <w:rFonts w:eastAsia="Times New Roman" w:cs="Arial"/>
                <w:bCs/>
                <w:color w:val="000000"/>
                <w:szCs w:val="24"/>
                <w:lang w:val="en-US" w:eastAsia="en-GB"/>
              </w:rPr>
              <w:t>Does not apply in the SE or London sub-regions</w:t>
            </w:r>
          </w:p>
          <w:p w:rsidR="001B7ABF" w:rsidRDefault="001B7ABF" w:rsidP="001B7ABF">
            <w:pPr>
              <w:rPr>
                <w:rFonts w:eastAsia="Times New Roman" w:cs="Arial"/>
                <w:bCs/>
                <w:color w:val="000000"/>
                <w:szCs w:val="24"/>
                <w:lang w:val="en-US" w:eastAsia="en-GB"/>
              </w:rPr>
            </w:pPr>
            <w:r>
              <w:rPr>
                <w:rFonts w:eastAsia="Times New Roman" w:cs="Arial"/>
                <w:bCs/>
                <w:color w:val="000000"/>
                <w:szCs w:val="24"/>
                <w:lang w:val="en-US" w:eastAsia="en-GB"/>
              </w:rPr>
              <w:t xml:space="preserve">5. </w:t>
            </w:r>
            <w:r w:rsidR="0011226D">
              <w:rPr>
                <w:rFonts w:eastAsia="Times New Roman" w:cs="Arial"/>
                <w:bCs/>
                <w:color w:val="000000"/>
                <w:szCs w:val="24"/>
                <w:lang w:val="en-US" w:eastAsia="en-GB"/>
              </w:rPr>
              <w:t>Does not apply in the SE or London sub-regions</w:t>
            </w:r>
          </w:p>
          <w:p w:rsidR="001B7ABF" w:rsidRDefault="001B7ABF" w:rsidP="001B7ABF">
            <w:pPr>
              <w:rPr>
                <w:rFonts w:eastAsia="Times New Roman" w:cs="Arial"/>
                <w:bCs/>
                <w:color w:val="000000"/>
                <w:szCs w:val="24"/>
                <w:lang w:val="en-US" w:eastAsia="en-GB"/>
              </w:rPr>
            </w:pPr>
          </w:p>
          <w:p w:rsidR="001B7ABF" w:rsidRPr="00E5375D" w:rsidRDefault="0011226D" w:rsidP="001B7ABF">
            <w:pPr>
              <w:rPr>
                <w:rFonts w:eastAsia="Times New Roman" w:cs="Arial"/>
                <w:bCs/>
                <w:color w:val="000000"/>
                <w:szCs w:val="24"/>
                <w:lang w:val="en-US" w:eastAsia="en-GB"/>
              </w:rPr>
            </w:pPr>
            <w:r>
              <w:rPr>
                <w:rFonts w:eastAsia="Times New Roman" w:cs="Arial"/>
                <w:bCs/>
                <w:color w:val="000000"/>
                <w:szCs w:val="24"/>
                <w:lang w:val="en-US" w:eastAsia="en-GB"/>
              </w:rPr>
              <w:t>6. Does not apply in the SE or London sub-regions</w:t>
            </w:r>
          </w:p>
        </w:tc>
      </w:tr>
    </w:tbl>
    <w:p w:rsidR="00E5375D" w:rsidRPr="00E5375D" w:rsidRDefault="00E5375D" w:rsidP="00E5375D">
      <w:pPr>
        <w:rPr>
          <w:rFonts w:eastAsia="Times New Roman" w:cs="Arial"/>
          <w:b/>
          <w:bCs/>
          <w:color w:val="000000"/>
          <w:sz w:val="24"/>
          <w:szCs w:val="24"/>
          <w:lang w:val="en-US" w:eastAsia="en-GB"/>
        </w:rPr>
      </w:pPr>
    </w:p>
    <w:sectPr w:rsidR="00E5375D" w:rsidRPr="00E5375D" w:rsidSect="00F85B2C">
      <w:footerReference w:type="default" r:id="rId12"/>
      <w:headerReference w:type="first" r:id="rId13"/>
      <w:pgSz w:w="11906" w:h="16838"/>
      <w:pgMar w:top="1440" w:right="1440" w:bottom="851" w:left="1440" w:header="709" w:footer="34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67E" w:rsidRDefault="0010667E" w:rsidP="00F3659C">
      <w:pPr>
        <w:spacing w:after="288" w:line="240" w:lineRule="auto"/>
      </w:pPr>
      <w:r>
        <w:separator/>
      </w:r>
    </w:p>
    <w:p w:rsidR="0010667E" w:rsidRDefault="0010667E"/>
    <w:p w:rsidR="0010667E" w:rsidRDefault="0010667E"/>
  </w:endnote>
  <w:endnote w:type="continuationSeparator" w:id="0">
    <w:p w:rsidR="0010667E" w:rsidRDefault="0010667E" w:rsidP="00F3659C">
      <w:pPr>
        <w:spacing w:after="288" w:line="240" w:lineRule="auto"/>
      </w:pPr>
      <w:r>
        <w:continuationSeparator/>
      </w:r>
    </w:p>
    <w:p w:rsidR="0010667E" w:rsidRDefault="0010667E"/>
    <w:p w:rsidR="0010667E" w:rsidRDefault="001066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821405"/>
      <w:docPartObj>
        <w:docPartGallery w:val="Page Numbers (Bottom of Page)"/>
        <w:docPartUnique/>
      </w:docPartObj>
    </w:sdtPr>
    <w:sdtEndPr>
      <w:rPr>
        <w:noProof/>
      </w:rPr>
    </w:sdtEndPr>
    <w:sdtContent>
      <w:p w:rsidR="0010667E" w:rsidRDefault="0010667E" w:rsidP="00F3659C">
        <w:pPr>
          <w:pStyle w:val="Footer"/>
          <w:spacing w:after="288"/>
          <w:jc w:val="center"/>
        </w:pPr>
        <w:r w:rsidRPr="00D30E79">
          <w:rPr>
            <w:rFonts w:cs="Arial"/>
            <w:sz w:val="18"/>
          </w:rPr>
          <w:fldChar w:fldCharType="begin"/>
        </w:r>
        <w:r w:rsidRPr="00D30E79">
          <w:rPr>
            <w:rFonts w:cs="Arial"/>
            <w:sz w:val="18"/>
          </w:rPr>
          <w:instrText xml:space="preserve"> PAGE   \* MERGEFORMAT </w:instrText>
        </w:r>
        <w:r w:rsidRPr="00D30E79">
          <w:rPr>
            <w:rFonts w:cs="Arial"/>
            <w:sz w:val="18"/>
          </w:rPr>
          <w:fldChar w:fldCharType="separate"/>
        </w:r>
        <w:r w:rsidR="00E6103B" w:rsidRPr="00E6103B">
          <w:rPr>
            <w:rFonts w:asciiTheme="minorHAnsi" w:hAnsiTheme="minorHAnsi" w:cs="Arial"/>
            <w:noProof/>
            <w:sz w:val="18"/>
          </w:rPr>
          <w:t>16</w:t>
        </w:r>
        <w:r w:rsidRPr="00D30E79">
          <w:rPr>
            <w:rFonts w:cs="Arial"/>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67E" w:rsidRDefault="0010667E" w:rsidP="00F3659C">
      <w:pPr>
        <w:spacing w:after="288" w:line="240" w:lineRule="auto"/>
      </w:pPr>
      <w:r>
        <w:separator/>
      </w:r>
    </w:p>
    <w:p w:rsidR="0010667E" w:rsidRDefault="0010667E"/>
    <w:p w:rsidR="0010667E" w:rsidRDefault="0010667E"/>
  </w:footnote>
  <w:footnote w:type="continuationSeparator" w:id="0">
    <w:p w:rsidR="0010667E" w:rsidRDefault="0010667E" w:rsidP="00F3659C">
      <w:pPr>
        <w:spacing w:after="288" w:line="240" w:lineRule="auto"/>
      </w:pPr>
      <w:r>
        <w:continuationSeparator/>
      </w:r>
    </w:p>
    <w:p w:rsidR="0010667E" w:rsidRDefault="0010667E"/>
    <w:p w:rsidR="0010667E" w:rsidRDefault="001066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7E" w:rsidRDefault="0010667E" w:rsidP="00F3659C">
    <w:pPr>
      <w:pStyle w:val="Header"/>
      <w:spacing w:after="288"/>
    </w:pPr>
    <w:r>
      <w:rPr>
        <w:noProof/>
        <w:lang w:eastAsia="en-GB"/>
      </w:rPr>
      <w:drawing>
        <wp:anchor distT="0" distB="0" distL="114300" distR="114300" simplePos="0" relativeHeight="251659264" behindDoc="1" locked="0" layoutInCell="1" allowOverlap="1" wp14:anchorId="03874F0E" wp14:editId="78F06BDA">
          <wp:simplePos x="0" y="0"/>
          <wp:positionH relativeFrom="page">
            <wp:posOffset>-34876</wp:posOffset>
          </wp:positionH>
          <wp:positionV relativeFrom="page">
            <wp:posOffset>13707</wp:posOffset>
          </wp:positionV>
          <wp:extent cx="7563600" cy="10699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logo B&amp;W 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3508"/>
    <w:multiLevelType w:val="hybridMultilevel"/>
    <w:tmpl w:val="0FB63C9A"/>
    <w:lvl w:ilvl="0" w:tplc="08090009">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
    <w:nsid w:val="0B1436DB"/>
    <w:multiLevelType w:val="hybridMultilevel"/>
    <w:tmpl w:val="74CE97C0"/>
    <w:lvl w:ilvl="0" w:tplc="08090009">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C030A09"/>
    <w:multiLevelType w:val="hybridMultilevel"/>
    <w:tmpl w:val="3F7E4C58"/>
    <w:lvl w:ilvl="0" w:tplc="08090009">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
    <w:nsid w:val="0EBD1471"/>
    <w:multiLevelType w:val="hybridMultilevel"/>
    <w:tmpl w:val="4C802320"/>
    <w:lvl w:ilvl="0" w:tplc="08090009">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
    <w:nsid w:val="1D836C7D"/>
    <w:multiLevelType w:val="hybridMultilevel"/>
    <w:tmpl w:val="9D10FC1E"/>
    <w:lvl w:ilvl="0" w:tplc="08090009">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5">
    <w:nsid w:val="1DE5195D"/>
    <w:multiLevelType w:val="multilevel"/>
    <w:tmpl w:val="8A706EC8"/>
    <w:lvl w:ilvl="0">
      <w:start w:val="1"/>
      <w:numFmt w:val="decimal"/>
      <w:lvlText w:val="%1"/>
      <w:lvlJc w:val="left"/>
      <w:pPr>
        <w:ind w:left="855" w:hanging="495"/>
      </w:pPr>
      <w:rPr>
        <w:rFonts w:hint="default"/>
      </w:rPr>
    </w:lvl>
    <w:lvl w:ilvl="1">
      <w:start w:val="1"/>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68742B2"/>
    <w:multiLevelType w:val="multilevel"/>
    <w:tmpl w:val="46F69B74"/>
    <w:styleLink w:val="Style1"/>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7">
    <w:nsid w:val="32924533"/>
    <w:multiLevelType w:val="hybridMultilevel"/>
    <w:tmpl w:val="043E28F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8">
    <w:nsid w:val="337133DC"/>
    <w:multiLevelType w:val="hybridMultilevel"/>
    <w:tmpl w:val="4C78FA14"/>
    <w:lvl w:ilvl="0" w:tplc="D8ACE282">
      <w:start w:val="1"/>
      <w:numFmt w:val="upperRoman"/>
      <w:lvlText w:val="%1."/>
      <w:lvlJc w:val="left"/>
      <w:pPr>
        <w:ind w:left="1650" w:hanging="72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9">
    <w:nsid w:val="362E38B8"/>
    <w:multiLevelType w:val="hybridMultilevel"/>
    <w:tmpl w:val="5BB8359E"/>
    <w:lvl w:ilvl="0" w:tplc="08090009">
      <w:start w:val="1"/>
      <w:numFmt w:val="bullet"/>
      <w:lvlText w:val=""/>
      <w:lvlJc w:val="left"/>
      <w:pPr>
        <w:ind w:left="1650" w:hanging="360"/>
      </w:pPr>
      <w:rPr>
        <w:rFonts w:ascii="Wingdings" w:hAnsi="Wingdings"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0">
    <w:nsid w:val="3A870839"/>
    <w:multiLevelType w:val="hybridMultilevel"/>
    <w:tmpl w:val="679C555C"/>
    <w:lvl w:ilvl="0" w:tplc="08090009">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45AC0ABE"/>
    <w:multiLevelType w:val="hybridMultilevel"/>
    <w:tmpl w:val="882C952A"/>
    <w:lvl w:ilvl="0" w:tplc="08090009">
      <w:start w:val="1"/>
      <w:numFmt w:val="bullet"/>
      <w:lvlText w:val=""/>
      <w:lvlJc w:val="left"/>
      <w:pPr>
        <w:ind w:left="1650" w:hanging="360"/>
      </w:pPr>
      <w:rPr>
        <w:rFonts w:ascii="Wingdings" w:hAnsi="Wingdings"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2">
    <w:nsid w:val="45E77E75"/>
    <w:multiLevelType w:val="multilevel"/>
    <w:tmpl w:val="45B23D7E"/>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3">
    <w:nsid w:val="4B20476E"/>
    <w:multiLevelType w:val="hybridMultilevel"/>
    <w:tmpl w:val="3ACCF63E"/>
    <w:lvl w:ilvl="0" w:tplc="08090009">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nsid w:val="4E53066B"/>
    <w:multiLevelType w:val="multilevel"/>
    <w:tmpl w:val="65107870"/>
    <w:lvl w:ilvl="0">
      <w:start w:val="1"/>
      <w:numFmt w:val="decimal"/>
      <w:lvlText w:val="%1"/>
      <w:lvlJc w:val="left"/>
      <w:pPr>
        <w:ind w:left="855" w:hanging="495"/>
      </w:pPr>
      <w:rPr>
        <w:rFonts w:hint="default"/>
      </w:rPr>
    </w:lvl>
    <w:lvl w:ilvl="1">
      <w:start w:val="1"/>
      <w:numFmt w:val="bullet"/>
      <w:lvlText w:val=""/>
      <w:lvlJc w:val="left"/>
      <w:pPr>
        <w:ind w:left="930" w:hanging="57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19B6DD2"/>
    <w:multiLevelType w:val="hybridMultilevel"/>
    <w:tmpl w:val="C4DE3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5F203B"/>
    <w:multiLevelType w:val="multilevel"/>
    <w:tmpl w:val="65107870"/>
    <w:lvl w:ilvl="0">
      <w:start w:val="1"/>
      <w:numFmt w:val="decimal"/>
      <w:lvlText w:val="%1"/>
      <w:lvlJc w:val="left"/>
      <w:pPr>
        <w:ind w:left="855" w:hanging="495"/>
      </w:pPr>
      <w:rPr>
        <w:rFonts w:hint="default"/>
      </w:rPr>
    </w:lvl>
    <w:lvl w:ilvl="1">
      <w:start w:val="1"/>
      <w:numFmt w:val="bullet"/>
      <w:lvlText w:val=""/>
      <w:lvlJc w:val="left"/>
      <w:pPr>
        <w:ind w:left="930" w:hanging="57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F9D5A56"/>
    <w:multiLevelType w:val="multilevel"/>
    <w:tmpl w:val="5EA8BF30"/>
    <w:lvl w:ilvl="0">
      <w:start w:val="3"/>
      <w:numFmt w:val="decimal"/>
      <w:lvlText w:val="%1"/>
      <w:lvlJc w:val="left"/>
      <w:pPr>
        <w:ind w:left="360" w:hanging="360"/>
      </w:pPr>
      <w:rPr>
        <w:rFonts w:hint="default"/>
      </w:rPr>
    </w:lvl>
    <w:lvl w:ilvl="1">
      <w:start w:val="4"/>
      <w:numFmt w:val="decimal"/>
      <w:lvlText w:val="%1.%2"/>
      <w:lvlJc w:val="left"/>
      <w:pPr>
        <w:ind w:left="1290" w:hanging="360"/>
      </w:pPr>
      <w:rPr>
        <w:rFonts w:hint="default"/>
        <w:b/>
      </w:rPr>
    </w:lvl>
    <w:lvl w:ilvl="2">
      <w:start w:val="1"/>
      <w:numFmt w:val="decimal"/>
      <w:lvlText w:val="%1.%2.%3"/>
      <w:lvlJc w:val="left"/>
      <w:pPr>
        <w:ind w:left="258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18">
    <w:nsid w:val="6C2056BD"/>
    <w:multiLevelType w:val="multilevel"/>
    <w:tmpl w:val="65107870"/>
    <w:lvl w:ilvl="0">
      <w:start w:val="1"/>
      <w:numFmt w:val="decimal"/>
      <w:lvlText w:val="%1"/>
      <w:lvlJc w:val="left"/>
      <w:pPr>
        <w:ind w:left="855" w:hanging="495"/>
      </w:pPr>
      <w:rPr>
        <w:rFonts w:hint="default"/>
      </w:rPr>
    </w:lvl>
    <w:lvl w:ilvl="1">
      <w:start w:val="1"/>
      <w:numFmt w:val="bullet"/>
      <w:lvlText w:val=""/>
      <w:lvlJc w:val="left"/>
      <w:pPr>
        <w:ind w:left="930" w:hanging="57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0054717"/>
    <w:multiLevelType w:val="hybridMultilevel"/>
    <w:tmpl w:val="45E26566"/>
    <w:lvl w:ilvl="0" w:tplc="713EDBE2">
      <w:start w:val="1"/>
      <w:numFmt w:val="bullet"/>
      <w:pStyle w:val="Bullets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DB371B"/>
    <w:multiLevelType w:val="hybridMultilevel"/>
    <w:tmpl w:val="87FE7FFE"/>
    <w:lvl w:ilvl="0" w:tplc="08090009">
      <w:start w:val="1"/>
      <w:numFmt w:val="bullet"/>
      <w:lvlText w:val=""/>
      <w:lvlJc w:val="left"/>
      <w:pPr>
        <w:ind w:left="1650" w:hanging="720"/>
      </w:pPr>
      <w:rPr>
        <w:rFonts w:ascii="Wingdings" w:hAnsi="Wingding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1">
    <w:nsid w:val="72B96AD7"/>
    <w:multiLevelType w:val="multilevel"/>
    <w:tmpl w:val="65107870"/>
    <w:lvl w:ilvl="0">
      <w:start w:val="1"/>
      <w:numFmt w:val="decimal"/>
      <w:lvlText w:val="%1"/>
      <w:lvlJc w:val="left"/>
      <w:pPr>
        <w:ind w:left="855" w:hanging="495"/>
      </w:pPr>
      <w:rPr>
        <w:rFonts w:hint="default"/>
      </w:rPr>
    </w:lvl>
    <w:lvl w:ilvl="1">
      <w:start w:val="1"/>
      <w:numFmt w:val="bullet"/>
      <w:lvlText w:val=""/>
      <w:lvlJc w:val="left"/>
      <w:pPr>
        <w:ind w:left="930" w:hanging="57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66C6A34"/>
    <w:multiLevelType w:val="multilevel"/>
    <w:tmpl w:val="65107870"/>
    <w:lvl w:ilvl="0">
      <w:start w:val="1"/>
      <w:numFmt w:val="decimal"/>
      <w:lvlText w:val="%1"/>
      <w:lvlJc w:val="left"/>
      <w:pPr>
        <w:ind w:left="855" w:hanging="495"/>
      </w:pPr>
      <w:rPr>
        <w:rFonts w:hint="default"/>
      </w:rPr>
    </w:lvl>
    <w:lvl w:ilvl="1">
      <w:start w:val="1"/>
      <w:numFmt w:val="bullet"/>
      <w:lvlText w:val=""/>
      <w:lvlJc w:val="left"/>
      <w:pPr>
        <w:ind w:left="930" w:hanging="57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7F71D8D"/>
    <w:multiLevelType w:val="hybridMultilevel"/>
    <w:tmpl w:val="B55898C8"/>
    <w:lvl w:ilvl="0" w:tplc="08090009">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9"/>
  </w:num>
  <w:num w:numId="2">
    <w:abstractNumId w:val="5"/>
  </w:num>
  <w:num w:numId="3">
    <w:abstractNumId w:val="6"/>
  </w:num>
  <w:num w:numId="4">
    <w:abstractNumId w:val="16"/>
  </w:num>
  <w:num w:numId="5">
    <w:abstractNumId w:val="8"/>
  </w:num>
  <w:num w:numId="6">
    <w:abstractNumId w:val="17"/>
  </w:num>
  <w:num w:numId="7">
    <w:abstractNumId w:val="1"/>
  </w:num>
  <w:num w:numId="8">
    <w:abstractNumId w:val="20"/>
  </w:num>
  <w:num w:numId="9">
    <w:abstractNumId w:val="11"/>
  </w:num>
  <w:num w:numId="10">
    <w:abstractNumId w:val="9"/>
  </w:num>
  <w:num w:numId="11">
    <w:abstractNumId w:val="3"/>
  </w:num>
  <w:num w:numId="12">
    <w:abstractNumId w:val="0"/>
  </w:num>
  <w:num w:numId="13">
    <w:abstractNumId w:val="4"/>
  </w:num>
  <w:num w:numId="14">
    <w:abstractNumId w:val="15"/>
  </w:num>
  <w:num w:numId="15">
    <w:abstractNumId w:val="14"/>
  </w:num>
  <w:num w:numId="16">
    <w:abstractNumId w:val="21"/>
  </w:num>
  <w:num w:numId="17">
    <w:abstractNumId w:val="18"/>
  </w:num>
  <w:num w:numId="18">
    <w:abstractNumId w:val="22"/>
  </w:num>
  <w:num w:numId="19">
    <w:abstractNumId w:val="7"/>
  </w:num>
  <w:num w:numId="20">
    <w:abstractNumId w:val="12"/>
  </w:num>
  <w:num w:numId="21">
    <w:abstractNumId w:val="2"/>
  </w:num>
  <w:num w:numId="22">
    <w:abstractNumId w:val="13"/>
  </w:num>
  <w:num w:numId="23">
    <w:abstractNumId w:val="10"/>
  </w:num>
  <w:num w:numId="24">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BE"/>
    <w:rsid w:val="000175DD"/>
    <w:rsid w:val="00021D7E"/>
    <w:rsid w:val="00031FD4"/>
    <w:rsid w:val="000325E3"/>
    <w:rsid w:val="00033480"/>
    <w:rsid w:val="00034E6C"/>
    <w:rsid w:val="00034FD3"/>
    <w:rsid w:val="000874F2"/>
    <w:rsid w:val="00092EED"/>
    <w:rsid w:val="00097E82"/>
    <w:rsid w:val="000A4B32"/>
    <w:rsid w:val="000A5778"/>
    <w:rsid w:val="000A7226"/>
    <w:rsid w:val="000B3871"/>
    <w:rsid w:val="000B3F3B"/>
    <w:rsid w:val="000B5AA4"/>
    <w:rsid w:val="000C4744"/>
    <w:rsid w:val="000C5CAF"/>
    <w:rsid w:val="000D082D"/>
    <w:rsid w:val="000D5DA1"/>
    <w:rsid w:val="000E3597"/>
    <w:rsid w:val="000F2EEE"/>
    <w:rsid w:val="000F72BE"/>
    <w:rsid w:val="0010667E"/>
    <w:rsid w:val="0011226D"/>
    <w:rsid w:val="00117FAF"/>
    <w:rsid w:val="001263AB"/>
    <w:rsid w:val="00137D8C"/>
    <w:rsid w:val="0015106E"/>
    <w:rsid w:val="001630B0"/>
    <w:rsid w:val="00190078"/>
    <w:rsid w:val="001936F9"/>
    <w:rsid w:val="001A0971"/>
    <w:rsid w:val="001A668C"/>
    <w:rsid w:val="001B7ABF"/>
    <w:rsid w:val="001C2019"/>
    <w:rsid w:val="001D1DB6"/>
    <w:rsid w:val="001D776D"/>
    <w:rsid w:val="001F59CB"/>
    <w:rsid w:val="00241A6D"/>
    <w:rsid w:val="00243D99"/>
    <w:rsid w:val="00250F0F"/>
    <w:rsid w:val="00286A76"/>
    <w:rsid w:val="002941F6"/>
    <w:rsid w:val="00295B75"/>
    <w:rsid w:val="002A3008"/>
    <w:rsid w:val="002E2F85"/>
    <w:rsid w:val="002E73AB"/>
    <w:rsid w:val="002F51CE"/>
    <w:rsid w:val="00300041"/>
    <w:rsid w:val="0031178E"/>
    <w:rsid w:val="00313B69"/>
    <w:rsid w:val="00331EB8"/>
    <w:rsid w:val="00340EF8"/>
    <w:rsid w:val="00345C37"/>
    <w:rsid w:val="00346491"/>
    <w:rsid w:val="00347605"/>
    <w:rsid w:val="003647F0"/>
    <w:rsid w:val="00377384"/>
    <w:rsid w:val="00394DD8"/>
    <w:rsid w:val="003B1CA1"/>
    <w:rsid w:val="003C601A"/>
    <w:rsid w:val="003D781A"/>
    <w:rsid w:val="003E379D"/>
    <w:rsid w:val="003F43E3"/>
    <w:rsid w:val="003F7D98"/>
    <w:rsid w:val="0042417F"/>
    <w:rsid w:val="00446F17"/>
    <w:rsid w:val="00446F6F"/>
    <w:rsid w:val="00475B5A"/>
    <w:rsid w:val="004946C3"/>
    <w:rsid w:val="004A1F66"/>
    <w:rsid w:val="004B4564"/>
    <w:rsid w:val="004B5DF1"/>
    <w:rsid w:val="004D4101"/>
    <w:rsid w:val="004D55C5"/>
    <w:rsid w:val="004D5DBE"/>
    <w:rsid w:val="004F4545"/>
    <w:rsid w:val="004F6D1E"/>
    <w:rsid w:val="00501378"/>
    <w:rsid w:val="005124FE"/>
    <w:rsid w:val="00524CA8"/>
    <w:rsid w:val="00527AE0"/>
    <w:rsid w:val="005325A0"/>
    <w:rsid w:val="005429A2"/>
    <w:rsid w:val="00544920"/>
    <w:rsid w:val="00552D63"/>
    <w:rsid w:val="00554120"/>
    <w:rsid w:val="00557523"/>
    <w:rsid w:val="00575B07"/>
    <w:rsid w:val="00580923"/>
    <w:rsid w:val="00581625"/>
    <w:rsid w:val="00587C63"/>
    <w:rsid w:val="005930B3"/>
    <w:rsid w:val="005C0916"/>
    <w:rsid w:val="005C3CF8"/>
    <w:rsid w:val="005D3EB1"/>
    <w:rsid w:val="005F0250"/>
    <w:rsid w:val="00600929"/>
    <w:rsid w:val="00604461"/>
    <w:rsid w:val="00624B8C"/>
    <w:rsid w:val="006447D2"/>
    <w:rsid w:val="006524AA"/>
    <w:rsid w:val="0067671B"/>
    <w:rsid w:val="006A35F7"/>
    <w:rsid w:val="006B2446"/>
    <w:rsid w:val="006B546A"/>
    <w:rsid w:val="006B7F7A"/>
    <w:rsid w:val="006C018D"/>
    <w:rsid w:val="006F55AA"/>
    <w:rsid w:val="006F76D3"/>
    <w:rsid w:val="00707C41"/>
    <w:rsid w:val="00721CB0"/>
    <w:rsid w:val="00723E94"/>
    <w:rsid w:val="0072782E"/>
    <w:rsid w:val="00732D29"/>
    <w:rsid w:val="007418B4"/>
    <w:rsid w:val="007436DE"/>
    <w:rsid w:val="007560AE"/>
    <w:rsid w:val="00777142"/>
    <w:rsid w:val="00786D5B"/>
    <w:rsid w:val="007C69B5"/>
    <w:rsid w:val="007D6A68"/>
    <w:rsid w:val="007E42F0"/>
    <w:rsid w:val="007E4BDF"/>
    <w:rsid w:val="00806C6E"/>
    <w:rsid w:val="00832F17"/>
    <w:rsid w:val="00836AE4"/>
    <w:rsid w:val="0084510F"/>
    <w:rsid w:val="008529F7"/>
    <w:rsid w:val="00884B26"/>
    <w:rsid w:val="008A1568"/>
    <w:rsid w:val="008A3586"/>
    <w:rsid w:val="008B6ACE"/>
    <w:rsid w:val="008C4918"/>
    <w:rsid w:val="008C5AC9"/>
    <w:rsid w:val="008E3707"/>
    <w:rsid w:val="009010C0"/>
    <w:rsid w:val="00902FA6"/>
    <w:rsid w:val="00903704"/>
    <w:rsid w:val="00933BFB"/>
    <w:rsid w:val="009347C3"/>
    <w:rsid w:val="00951098"/>
    <w:rsid w:val="009529EB"/>
    <w:rsid w:val="00961C65"/>
    <w:rsid w:val="0096453D"/>
    <w:rsid w:val="009651B5"/>
    <w:rsid w:val="009758DA"/>
    <w:rsid w:val="00976657"/>
    <w:rsid w:val="00976FA8"/>
    <w:rsid w:val="009949A4"/>
    <w:rsid w:val="00995005"/>
    <w:rsid w:val="009955E8"/>
    <w:rsid w:val="009A71F5"/>
    <w:rsid w:val="009C2384"/>
    <w:rsid w:val="009D2C4F"/>
    <w:rsid w:val="009E1AA8"/>
    <w:rsid w:val="009F7588"/>
    <w:rsid w:val="00A13142"/>
    <w:rsid w:val="00A24835"/>
    <w:rsid w:val="00A27925"/>
    <w:rsid w:val="00A528CA"/>
    <w:rsid w:val="00A52ABF"/>
    <w:rsid w:val="00A65E1A"/>
    <w:rsid w:val="00A736A1"/>
    <w:rsid w:val="00A87388"/>
    <w:rsid w:val="00AA2B18"/>
    <w:rsid w:val="00AA65D6"/>
    <w:rsid w:val="00AD5463"/>
    <w:rsid w:val="00AE699C"/>
    <w:rsid w:val="00AE7CF1"/>
    <w:rsid w:val="00B26E19"/>
    <w:rsid w:val="00B41358"/>
    <w:rsid w:val="00B42784"/>
    <w:rsid w:val="00B44B6B"/>
    <w:rsid w:val="00B63445"/>
    <w:rsid w:val="00B64CF4"/>
    <w:rsid w:val="00B651BA"/>
    <w:rsid w:val="00BA2E47"/>
    <w:rsid w:val="00BC508B"/>
    <w:rsid w:val="00BE069A"/>
    <w:rsid w:val="00BF0D06"/>
    <w:rsid w:val="00BF240C"/>
    <w:rsid w:val="00BF3D0D"/>
    <w:rsid w:val="00C015EF"/>
    <w:rsid w:val="00C0332A"/>
    <w:rsid w:val="00C24A4E"/>
    <w:rsid w:val="00C3224D"/>
    <w:rsid w:val="00C327F7"/>
    <w:rsid w:val="00C32D4F"/>
    <w:rsid w:val="00C37BF3"/>
    <w:rsid w:val="00C52B8C"/>
    <w:rsid w:val="00C56163"/>
    <w:rsid w:val="00C56502"/>
    <w:rsid w:val="00C942A4"/>
    <w:rsid w:val="00C972C0"/>
    <w:rsid w:val="00CA0210"/>
    <w:rsid w:val="00CC1475"/>
    <w:rsid w:val="00CC4FD7"/>
    <w:rsid w:val="00CC682A"/>
    <w:rsid w:val="00CD03B8"/>
    <w:rsid w:val="00D059F1"/>
    <w:rsid w:val="00D071BB"/>
    <w:rsid w:val="00D30E79"/>
    <w:rsid w:val="00D333E6"/>
    <w:rsid w:val="00D33CCD"/>
    <w:rsid w:val="00D465D0"/>
    <w:rsid w:val="00D539CF"/>
    <w:rsid w:val="00D67E7A"/>
    <w:rsid w:val="00D828F9"/>
    <w:rsid w:val="00D8624D"/>
    <w:rsid w:val="00DB0AE5"/>
    <w:rsid w:val="00DD096B"/>
    <w:rsid w:val="00DE1521"/>
    <w:rsid w:val="00DF5055"/>
    <w:rsid w:val="00DF6499"/>
    <w:rsid w:val="00E0544C"/>
    <w:rsid w:val="00E06948"/>
    <w:rsid w:val="00E169E0"/>
    <w:rsid w:val="00E274AA"/>
    <w:rsid w:val="00E344F2"/>
    <w:rsid w:val="00E34A95"/>
    <w:rsid w:val="00E368E7"/>
    <w:rsid w:val="00E50188"/>
    <w:rsid w:val="00E5375D"/>
    <w:rsid w:val="00E55A99"/>
    <w:rsid w:val="00E6103B"/>
    <w:rsid w:val="00E64EFB"/>
    <w:rsid w:val="00E71117"/>
    <w:rsid w:val="00E721C6"/>
    <w:rsid w:val="00E77664"/>
    <w:rsid w:val="00E85E9A"/>
    <w:rsid w:val="00EE6576"/>
    <w:rsid w:val="00F1397E"/>
    <w:rsid w:val="00F17506"/>
    <w:rsid w:val="00F254D6"/>
    <w:rsid w:val="00F3261C"/>
    <w:rsid w:val="00F3659C"/>
    <w:rsid w:val="00F52402"/>
    <w:rsid w:val="00F85B2C"/>
    <w:rsid w:val="00F867C5"/>
    <w:rsid w:val="00F90C87"/>
    <w:rsid w:val="00F92272"/>
    <w:rsid w:val="00F92473"/>
    <w:rsid w:val="00F95739"/>
    <w:rsid w:val="00F97A16"/>
    <w:rsid w:val="00FB63E9"/>
    <w:rsid w:val="00FD7651"/>
    <w:rsid w:val="00FE386C"/>
    <w:rsid w:val="00FF5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0"/>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74F2"/>
    <w:rPr>
      <w:rFonts w:ascii="Arial" w:hAnsi="Arial"/>
    </w:rPr>
  </w:style>
  <w:style w:type="paragraph" w:styleId="Heading1">
    <w:name w:val="heading 1"/>
    <w:next w:val="Normal"/>
    <w:link w:val="Heading1Char"/>
    <w:uiPriority w:val="9"/>
    <w:qFormat/>
    <w:rsid w:val="000874F2"/>
    <w:pPr>
      <w:keepNext/>
      <w:keepLines/>
      <w:framePr w:hSpace="187" w:wrap="around" w:vAnchor="page" w:hAnchor="margin" w:y="4901"/>
      <w:widowControl/>
      <w:spacing w:before="480" w:after="0" w:line="240" w:lineRule="auto"/>
      <w:outlineLvl w:val="0"/>
    </w:pPr>
    <w:rPr>
      <w:rFonts w:ascii="Arial" w:eastAsiaTheme="majorEastAsia" w:hAnsi="Arial" w:cs="Arial"/>
      <w:b/>
      <w:bCs/>
      <w:color w:val="002060"/>
      <w:sz w:val="28"/>
      <w:szCs w:val="40"/>
    </w:rPr>
  </w:style>
  <w:style w:type="paragraph" w:styleId="Heading2">
    <w:name w:val="heading 2"/>
    <w:basedOn w:val="Subheading"/>
    <w:next w:val="Normal"/>
    <w:link w:val="Heading2Char"/>
    <w:uiPriority w:val="9"/>
    <w:unhideWhenUsed/>
    <w:qFormat/>
    <w:rsid w:val="000874F2"/>
    <w:pPr>
      <w:outlineLvl w:val="1"/>
    </w:pPr>
  </w:style>
  <w:style w:type="paragraph" w:styleId="Heading3">
    <w:name w:val="heading 3"/>
    <w:basedOn w:val="Normal"/>
    <w:next w:val="Normal"/>
    <w:link w:val="Heading3Char"/>
    <w:uiPriority w:val="9"/>
    <w:semiHidden/>
    <w:unhideWhenUsed/>
    <w:rsid w:val="0072782E"/>
    <w:pPr>
      <w:keepNext/>
      <w:widowControl/>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72782E"/>
    <w:pPr>
      <w:keepNext/>
      <w:widowControl/>
      <w:tabs>
        <w:tab w:val="num" w:pos="2880"/>
      </w:tabs>
      <w:spacing w:before="240" w:after="60" w:line="240" w:lineRule="auto"/>
      <w:ind w:left="2880" w:hanging="720"/>
      <w:outlineLvl w:val="3"/>
    </w:pPr>
    <w:rPr>
      <w:rFonts w:asciiTheme="minorHAnsi" w:eastAsiaTheme="minorEastAsia" w:hAnsiTheme="minorHAnsi"/>
      <w:b/>
      <w:bCs/>
      <w:sz w:val="28"/>
      <w:szCs w:val="28"/>
      <w:lang w:val="en-US"/>
    </w:rPr>
  </w:style>
  <w:style w:type="paragraph" w:styleId="Heading5">
    <w:name w:val="heading 5"/>
    <w:basedOn w:val="Normal"/>
    <w:next w:val="Normal"/>
    <w:link w:val="Heading5Char"/>
    <w:uiPriority w:val="9"/>
    <w:semiHidden/>
    <w:unhideWhenUsed/>
    <w:qFormat/>
    <w:rsid w:val="0072782E"/>
    <w:pPr>
      <w:widowControl/>
      <w:tabs>
        <w:tab w:val="num" w:pos="3600"/>
      </w:tabs>
      <w:spacing w:before="240" w:after="60" w:line="240" w:lineRule="auto"/>
      <w:ind w:left="3600" w:hanging="720"/>
      <w:outlineLvl w:val="4"/>
    </w:pPr>
    <w:rPr>
      <w:rFonts w:asciiTheme="minorHAnsi" w:eastAsiaTheme="minorEastAsia" w:hAnsiTheme="minorHAnsi"/>
      <w:b/>
      <w:bCs/>
      <w:i/>
      <w:iCs/>
      <w:sz w:val="26"/>
      <w:szCs w:val="26"/>
      <w:lang w:val="en-US"/>
    </w:rPr>
  </w:style>
  <w:style w:type="paragraph" w:styleId="Heading6">
    <w:name w:val="heading 6"/>
    <w:basedOn w:val="Normal"/>
    <w:next w:val="Normal"/>
    <w:link w:val="Heading6Char"/>
    <w:rsid w:val="0072782E"/>
    <w:pPr>
      <w:widowControl/>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rsid w:val="0072782E"/>
    <w:pPr>
      <w:widowControl/>
      <w:tabs>
        <w:tab w:val="num" w:pos="5040"/>
      </w:tabs>
      <w:spacing w:before="240" w:after="60" w:line="240" w:lineRule="auto"/>
      <w:ind w:left="5040" w:hanging="720"/>
      <w:outlineLvl w:val="6"/>
    </w:pPr>
    <w:rPr>
      <w:rFonts w:asciiTheme="minorHAnsi" w:eastAsiaTheme="minorEastAsia" w:hAnsiTheme="minorHAnsi"/>
      <w:sz w:val="24"/>
      <w:szCs w:val="24"/>
      <w:lang w:val="en-US"/>
    </w:rPr>
  </w:style>
  <w:style w:type="paragraph" w:styleId="Heading8">
    <w:name w:val="heading 8"/>
    <w:basedOn w:val="Normal"/>
    <w:next w:val="Normal"/>
    <w:link w:val="Heading8Char"/>
    <w:uiPriority w:val="9"/>
    <w:semiHidden/>
    <w:unhideWhenUsed/>
    <w:qFormat/>
    <w:rsid w:val="0072782E"/>
    <w:pPr>
      <w:widowControl/>
      <w:tabs>
        <w:tab w:val="num" w:pos="5760"/>
      </w:tabs>
      <w:spacing w:before="240" w:after="60" w:line="240" w:lineRule="auto"/>
      <w:ind w:left="5760" w:hanging="720"/>
      <w:outlineLvl w:val="7"/>
    </w:pPr>
    <w:rPr>
      <w:rFonts w:asciiTheme="minorHAnsi" w:eastAsiaTheme="minorEastAsia" w:hAnsiTheme="minorHAnsi"/>
      <w:i/>
      <w:iCs/>
      <w:sz w:val="24"/>
      <w:szCs w:val="24"/>
      <w:lang w:val="en-US"/>
    </w:rPr>
  </w:style>
  <w:style w:type="paragraph" w:styleId="Heading9">
    <w:name w:val="heading 9"/>
    <w:basedOn w:val="Normal"/>
    <w:next w:val="Normal"/>
    <w:link w:val="Heading9Char"/>
    <w:uiPriority w:val="9"/>
    <w:semiHidden/>
    <w:unhideWhenUsed/>
    <w:qFormat/>
    <w:rsid w:val="0072782E"/>
    <w:pPr>
      <w:widowControl/>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163"/>
    <w:rPr>
      <w:b/>
      <w:bCs/>
    </w:rPr>
  </w:style>
  <w:style w:type="paragraph" w:styleId="Header">
    <w:name w:val="header"/>
    <w:basedOn w:val="Normal"/>
    <w:link w:val="HeaderChar"/>
    <w:uiPriority w:val="99"/>
    <w:unhideWhenUsed/>
    <w:rsid w:val="00364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7F0"/>
  </w:style>
  <w:style w:type="paragraph" w:styleId="Footer">
    <w:name w:val="footer"/>
    <w:basedOn w:val="Normal"/>
    <w:link w:val="FooterChar"/>
    <w:uiPriority w:val="99"/>
    <w:unhideWhenUsed/>
    <w:rsid w:val="00364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7F0"/>
  </w:style>
  <w:style w:type="paragraph" w:styleId="BalloonText">
    <w:name w:val="Balloon Text"/>
    <w:basedOn w:val="Normal"/>
    <w:link w:val="BalloonTextChar"/>
    <w:uiPriority w:val="99"/>
    <w:semiHidden/>
    <w:unhideWhenUsed/>
    <w:rsid w:val="00364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7F0"/>
    <w:rPr>
      <w:rFonts w:ascii="Tahoma" w:hAnsi="Tahoma" w:cs="Tahoma"/>
      <w:sz w:val="16"/>
      <w:szCs w:val="16"/>
    </w:rPr>
  </w:style>
  <w:style w:type="table" w:styleId="TableGrid">
    <w:name w:val="Table Grid"/>
    <w:basedOn w:val="TableNormal"/>
    <w:uiPriority w:val="59"/>
    <w:rsid w:val="00364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74F2"/>
    <w:rPr>
      <w:rFonts w:ascii="Arial" w:eastAsiaTheme="majorEastAsia" w:hAnsi="Arial" w:cs="Arial"/>
      <w:b/>
      <w:bCs/>
      <w:color w:val="002060"/>
      <w:sz w:val="28"/>
      <w:szCs w:val="40"/>
    </w:rPr>
  </w:style>
  <w:style w:type="paragraph" w:styleId="NoSpacing">
    <w:name w:val="No Spacing"/>
    <w:link w:val="NoSpacingChar"/>
    <w:uiPriority w:val="1"/>
    <w:rsid w:val="00C37BF3"/>
    <w:pPr>
      <w:widowControl/>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37BF3"/>
    <w:rPr>
      <w:rFonts w:eastAsiaTheme="minorEastAsia"/>
      <w:lang w:val="en-US" w:eastAsia="ja-JP"/>
    </w:rPr>
  </w:style>
  <w:style w:type="paragraph" w:customStyle="1" w:styleId="Default">
    <w:name w:val="Default"/>
    <w:rsid w:val="00D30E79"/>
    <w:pPr>
      <w:widowControl/>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D30E79"/>
    <w:pPr>
      <w:ind w:left="720"/>
      <w:contextualSpacing/>
    </w:pPr>
  </w:style>
  <w:style w:type="paragraph" w:styleId="Title">
    <w:name w:val="Title"/>
    <w:basedOn w:val="NoSpacing"/>
    <w:next w:val="Normal"/>
    <w:link w:val="TitleChar"/>
    <w:uiPriority w:val="10"/>
    <w:qFormat/>
    <w:rsid w:val="000874F2"/>
    <w:pPr>
      <w:framePr w:hSpace="187" w:wrap="around" w:vAnchor="page" w:hAnchor="margin" w:y="4901"/>
    </w:pPr>
    <w:rPr>
      <w:rFonts w:ascii="Arial" w:eastAsiaTheme="majorEastAsia" w:hAnsi="Arial" w:cs="Arial"/>
      <w:b/>
      <w:color w:val="06A6CE"/>
      <w:sz w:val="96"/>
      <w:szCs w:val="96"/>
    </w:rPr>
  </w:style>
  <w:style w:type="character" w:customStyle="1" w:styleId="TitleChar">
    <w:name w:val="Title Char"/>
    <w:basedOn w:val="DefaultParagraphFont"/>
    <w:link w:val="Title"/>
    <w:uiPriority w:val="10"/>
    <w:rsid w:val="000874F2"/>
    <w:rPr>
      <w:rFonts w:ascii="Arial" w:eastAsiaTheme="majorEastAsia" w:hAnsi="Arial" w:cs="Arial"/>
      <w:b/>
      <w:color w:val="06A6CE"/>
      <w:sz w:val="96"/>
      <w:szCs w:val="96"/>
      <w:lang w:val="en-US" w:eastAsia="ja-JP"/>
    </w:rPr>
  </w:style>
  <w:style w:type="character" w:customStyle="1" w:styleId="Heading2Char">
    <w:name w:val="Heading 2 Char"/>
    <w:basedOn w:val="DefaultParagraphFont"/>
    <w:link w:val="Heading2"/>
    <w:uiPriority w:val="9"/>
    <w:rsid w:val="000874F2"/>
    <w:rPr>
      <w:rFonts w:ascii="Arial" w:eastAsia="Times New Roman" w:hAnsi="Arial" w:cs="Arial"/>
      <w:b/>
      <w:bCs/>
      <w:color w:val="000000"/>
      <w:sz w:val="24"/>
      <w:szCs w:val="24"/>
      <w:lang w:val="en-US" w:eastAsia="en-GB"/>
    </w:rPr>
  </w:style>
  <w:style w:type="character" w:customStyle="1" w:styleId="A3">
    <w:name w:val="A3"/>
    <w:rsid w:val="00F3659C"/>
    <w:rPr>
      <w:rFonts w:ascii="GillSans" w:hAnsi="GillSans" w:cs="GillSans" w:hint="default"/>
      <w:color w:val="000000"/>
      <w:sz w:val="20"/>
      <w:szCs w:val="20"/>
    </w:rPr>
  </w:style>
  <w:style w:type="paragraph" w:customStyle="1" w:styleId="Body">
    <w:name w:val="Body"/>
    <w:basedOn w:val="Default"/>
    <w:qFormat/>
    <w:rsid w:val="000E3597"/>
    <w:pPr>
      <w:spacing w:before="120" w:afterLines="120" w:after="288" w:line="300" w:lineRule="atLeast"/>
      <w:ind w:left="567" w:hanging="567"/>
    </w:pPr>
    <w:rPr>
      <w:bCs/>
      <w:color w:val="auto"/>
      <w:sz w:val="22"/>
      <w:szCs w:val="22"/>
      <w:lang w:val="en-US"/>
    </w:rPr>
  </w:style>
  <w:style w:type="character" w:styleId="Emphasis">
    <w:name w:val="Emphasis"/>
    <w:aliases w:val="Bullets"/>
    <w:basedOn w:val="DefaultParagraphFont"/>
    <w:uiPriority w:val="20"/>
    <w:qFormat/>
    <w:rsid w:val="005124FE"/>
    <w:rPr>
      <w:rFonts w:eastAsia="Arial"/>
    </w:rPr>
  </w:style>
  <w:style w:type="character" w:styleId="IntenseEmphasis">
    <w:name w:val="Intense Emphasis"/>
    <w:basedOn w:val="DefaultParagraphFont"/>
    <w:uiPriority w:val="21"/>
    <w:qFormat/>
    <w:rsid w:val="007E4BDF"/>
    <w:rPr>
      <w:b/>
      <w:bCs/>
      <w:i/>
      <w:iCs/>
      <w:color w:val="4F81BD" w:themeColor="accent1"/>
    </w:rPr>
  </w:style>
  <w:style w:type="paragraph" w:customStyle="1" w:styleId="Subheading">
    <w:name w:val="Subheading"/>
    <w:basedOn w:val="Default"/>
    <w:qFormat/>
    <w:rsid w:val="007E4BDF"/>
    <w:pPr>
      <w:spacing w:after="120"/>
      <w:ind w:left="567" w:hanging="567"/>
    </w:pPr>
    <w:rPr>
      <w:b/>
      <w:bCs/>
      <w:lang w:val="en-US"/>
    </w:rPr>
  </w:style>
  <w:style w:type="character" w:customStyle="1" w:styleId="Heading3Char">
    <w:name w:val="Heading 3 Char"/>
    <w:basedOn w:val="DefaultParagraphFont"/>
    <w:link w:val="Heading3"/>
    <w:uiPriority w:val="9"/>
    <w:semiHidden/>
    <w:rsid w:val="0072782E"/>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72782E"/>
    <w:rPr>
      <w:rFonts w:eastAsiaTheme="minorEastAsia"/>
      <w:b/>
      <w:bCs/>
      <w:sz w:val="28"/>
      <w:szCs w:val="28"/>
      <w:lang w:val="en-US"/>
    </w:rPr>
  </w:style>
  <w:style w:type="character" w:customStyle="1" w:styleId="Heading5Char">
    <w:name w:val="Heading 5 Char"/>
    <w:basedOn w:val="DefaultParagraphFont"/>
    <w:link w:val="Heading5"/>
    <w:uiPriority w:val="9"/>
    <w:semiHidden/>
    <w:rsid w:val="0072782E"/>
    <w:rPr>
      <w:rFonts w:eastAsiaTheme="minorEastAsia"/>
      <w:b/>
      <w:bCs/>
      <w:i/>
      <w:iCs/>
      <w:sz w:val="26"/>
      <w:szCs w:val="26"/>
      <w:lang w:val="en-US"/>
    </w:rPr>
  </w:style>
  <w:style w:type="character" w:customStyle="1" w:styleId="Heading6Char">
    <w:name w:val="Heading 6 Char"/>
    <w:basedOn w:val="DefaultParagraphFont"/>
    <w:link w:val="Heading6"/>
    <w:rsid w:val="0072782E"/>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2782E"/>
    <w:rPr>
      <w:rFonts w:eastAsiaTheme="minorEastAsia"/>
      <w:sz w:val="24"/>
      <w:szCs w:val="24"/>
      <w:lang w:val="en-US"/>
    </w:rPr>
  </w:style>
  <w:style w:type="character" w:customStyle="1" w:styleId="Heading8Char">
    <w:name w:val="Heading 8 Char"/>
    <w:basedOn w:val="DefaultParagraphFont"/>
    <w:link w:val="Heading8"/>
    <w:uiPriority w:val="9"/>
    <w:semiHidden/>
    <w:rsid w:val="0072782E"/>
    <w:rPr>
      <w:rFonts w:eastAsiaTheme="minorEastAsia"/>
      <w:i/>
      <w:iCs/>
      <w:sz w:val="24"/>
      <w:szCs w:val="24"/>
      <w:lang w:val="en-US"/>
    </w:rPr>
  </w:style>
  <w:style w:type="character" w:customStyle="1" w:styleId="Heading9Char">
    <w:name w:val="Heading 9 Char"/>
    <w:basedOn w:val="DefaultParagraphFont"/>
    <w:link w:val="Heading9"/>
    <w:uiPriority w:val="9"/>
    <w:semiHidden/>
    <w:rsid w:val="0072782E"/>
    <w:rPr>
      <w:rFonts w:asciiTheme="majorHAnsi" w:eastAsiaTheme="majorEastAsia" w:hAnsiTheme="majorHAnsi" w:cstheme="majorBidi"/>
      <w:lang w:val="en-US"/>
    </w:rPr>
  </w:style>
  <w:style w:type="paragraph" w:customStyle="1" w:styleId="Enhanced">
    <w:name w:val="Enhanced"/>
    <w:basedOn w:val="Body"/>
    <w:qFormat/>
    <w:rsid w:val="0072782E"/>
    <w:pPr>
      <w:spacing w:afterLines="50" w:after="120"/>
      <w:ind w:firstLine="0"/>
    </w:pPr>
    <w:rPr>
      <w:rFonts w:eastAsia="Arial"/>
      <w:b/>
      <w:i/>
    </w:rPr>
  </w:style>
  <w:style w:type="paragraph" w:customStyle="1" w:styleId="Bullets2">
    <w:name w:val="Bullets 2"/>
    <w:basedOn w:val="Body"/>
    <w:qFormat/>
    <w:rsid w:val="005124FE"/>
    <w:pPr>
      <w:numPr>
        <w:numId w:val="1"/>
      </w:numPr>
      <w:spacing w:afterLines="0" w:after="80" w:line="240" w:lineRule="auto"/>
      <w:ind w:left="851" w:hanging="284"/>
    </w:pPr>
  </w:style>
  <w:style w:type="numbering" w:customStyle="1" w:styleId="Style1">
    <w:name w:val="Style1"/>
    <w:uiPriority w:val="99"/>
    <w:rsid w:val="000B3871"/>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0"/>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74F2"/>
    <w:rPr>
      <w:rFonts w:ascii="Arial" w:hAnsi="Arial"/>
    </w:rPr>
  </w:style>
  <w:style w:type="paragraph" w:styleId="Heading1">
    <w:name w:val="heading 1"/>
    <w:next w:val="Normal"/>
    <w:link w:val="Heading1Char"/>
    <w:uiPriority w:val="9"/>
    <w:qFormat/>
    <w:rsid w:val="000874F2"/>
    <w:pPr>
      <w:keepNext/>
      <w:keepLines/>
      <w:framePr w:hSpace="187" w:wrap="around" w:vAnchor="page" w:hAnchor="margin" w:y="4901"/>
      <w:widowControl/>
      <w:spacing w:before="480" w:after="0" w:line="240" w:lineRule="auto"/>
      <w:outlineLvl w:val="0"/>
    </w:pPr>
    <w:rPr>
      <w:rFonts w:ascii="Arial" w:eastAsiaTheme="majorEastAsia" w:hAnsi="Arial" w:cs="Arial"/>
      <w:b/>
      <w:bCs/>
      <w:color w:val="002060"/>
      <w:sz w:val="28"/>
      <w:szCs w:val="40"/>
    </w:rPr>
  </w:style>
  <w:style w:type="paragraph" w:styleId="Heading2">
    <w:name w:val="heading 2"/>
    <w:basedOn w:val="Subheading"/>
    <w:next w:val="Normal"/>
    <w:link w:val="Heading2Char"/>
    <w:uiPriority w:val="9"/>
    <w:unhideWhenUsed/>
    <w:qFormat/>
    <w:rsid w:val="000874F2"/>
    <w:pPr>
      <w:outlineLvl w:val="1"/>
    </w:pPr>
  </w:style>
  <w:style w:type="paragraph" w:styleId="Heading3">
    <w:name w:val="heading 3"/>
    <w:basedOn w:val="Normal"/>
    <w:next w:val="Normal"/>
    <w:link w:val="Heading3Char"/>
    <w:uiPriority w:val="9"/>
    <w:semiHidden/>
    <w:unhideWhenUsed/>
    <w:rsid w:val="0072782E"/>
    <w:pPr>
      <w:keepNext/>
      <w:widowControl/>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72782E"/>
    <w:pPr>
      <w:keepNext/>
      <w:widowControl/>
      <w:tabs>
        <w:tab w:val="num" w:pos="2880"/>
      </w:tabs>
      <w:spacing w:before="240" w:after="60" w:line="240" w:lineRule="auto"/>
      <w:ind w:left="2880" w:hanging="720"/>
      <w:outlineLvl w:val="3"/>
    </w:pPr>
    <w:rPr>
      <w:rFonts w:asciiTheme="minorHAnsi" w:eastAsiaTheme="minorEastAsia" w:hAnsiTheme="minorHAnsi"/>
      <w:b/>
      <w:bCs/>
      <w:sz w:val="28"/>
      <w:szCs w:val="28"/>
      <w:lang w:val="en-US"/>
    </w:rPr>
  </w:style>
  <w:style w:type="paragraph" w:styleId="Heading5">
    <w:name w:val="heading 5"/>
    <w:basedOn w:val="Normal"/>
    <w:next w:val="Normal"/>
    <w:link w:val="Heading5Char"/>
    <w:uiPriority w:val="9"/>
    <w:semiHidden/>
    <w:unhideWhenUsed/>
    <w:qFormat/>
    <w:rsid w:val="0072782E"/>
    <w:pPr>
      <w:widowControl/>
      <w:tabs>
        <w:tab w:val="num" w:pos="3600"/>
      </w:tabs>
      <w:spacing w:before="240" w:after="60" w:line="240" w:lineRule="auto"/>
      <w:ind w:left="3600" w:hanging="720"/>
      <w:outlineLvl w:val="4"/>
    </w:pPr>
    <w:rPr>
      <w:rFonts w:asciiTheme="minorHAnsi" w:eastAsiaTheme="minorEastAsia" w:hAnsiTheme="minorHAnsi"/>
      <w:b/>
      <w:bCs/>
      <w:i/>
      <w:iCs/>
      <w:sz w:val="26"/>
      <w:szCs w:val="26"/>
      <w:lang w:val="en-US"/>
    </w:rPr>
  </w:style>
  <w:style w:type="paragraph" w:styleId="Heading6">
    <w:name w:val="heading 6"/>
    <w:basedOn w:val="Normal"/>
    <w:next w:val="Normal"/>
    <w:link w:val="Heading6Char"/>
    <w:rsid w:val="0072782E"/>
    <w:pPr>
      <w:widowControl/>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rsid w:val="0072782E"/>
    <w:pPr>
      <w:widowControl/>
      <w:tabs>
        <w:tab w:val="num" w:pos="5040"/>
      </w:tabs>
      <w:spacing w:before="240" w:after="60" w:line="240" w:lineRule="auto"/>
      <w:ind w:left="5040" w:hanging="720"/>
      <w:outlineLvl w:val="6"/>
    </w:pPr>
    <w:rPr>
      <w:rFonts w:asciiTheme="minorHAnsi" w:eastAsiaTheme="minorEastAsia" w:hAnsiTheme="minorHAnsi"/>
      <w:sz w:val="24"/>
      <w:szCs w:val="24"/>
      <w:lang w:val="en-US"/>
    </w:rPr>
  </w:style>
  <w:style w:type="paragraph" w:styleId="Heading8">
    <w:name w:val="heading 8"/>
    <w:basedOn w:val="Normal"/>
    <w:next w:val="Normal"/>
    <w:link w:val="Heading8Char"/>
    <w:uiPriority w:val="9"/>
    <w:semiHidden/>
    <w:unhideWhenUsed/>
    <w:qFormat/>
    <w:rsid w:val="0072782E"/>
    <w:pPr>
      <w:widowControl/>
      <w:tabs>
        <w:tab w:val="num" w:pos="5760"/>
      </w:tabs>
      <w:spacing w:before="240" w:after="60" w:line="240" w:lineRule="auto"/>
      <w:ind w:left="5760" w:hanging="720"/>
      <w:outlineLvl w:val="7"/>
    </w:pPr>
    <w:rPr>
      <w:rFonts w:asciiTheme="minorHAnsi" w:eastAsiaTheme="minorEastAsia" w:hAnsiTheme="minorHAnsi"/>
      <w:i/>
      <w:iCs/>
      <w:sz w:val="24"/>
      <w:szCs w:val="24"/>
      <w:lang w:val="en-US"/>
    </w:rPr>
  </w:style>
  <w:style w:type="paragraph" w:styleId="Heading9">
    <w:name w:val="heading 9"/>
    <w:basedOn w:val="Normal"/>
    <w:next w:val="Normal"/>
    <w:link w:val="Heading9Char"/>
    <w:uiPriority w:val="9"/>
    <w:semiHidden/>
    <w:unhideWhenUsed/>
    <w:qFormat/>
    <w:rsid w:val="0072782E"/>
    <w:pPr>
      <w:widowControl/>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163"/>
    <w:rPr>
      <w:b/>
      <w:bCs/>
    </w:rPr>
  </w:style>
  <w:style w:type="paragraph" w:styleId="Header">
    <w:name w:val="header"/>
    <w:basedOn w:val="Normal"/>
    <w:link w:val="HeaderChar"/>
    <w:uiPriority w:val="99"/>
    <w:unhideWhenUsed/>
    <w:rsid w:val="00364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7F0"/>
  </w:style>
  <w:style w:type="paragraph" w:styleId="Footer">
    <w:name w:val="footer"/>
    <w:basedOn w:val="Normal"/>
    <w:link w:val="FooterChar"/>
    <w:uiPriority w:val="99"/>
    <w:unhideWhenUsed/>
    <w:rsid w:val="00364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7F0"/>
  </w:style>
  <w:style w:type="paragraph" w:styleId="BalloonText">
    <w:name w:val="Balloon Text"/>
    <w:basedOn w:val="Normal"/>
    <w:link w:val="BalloonTextChar"/>
    <w:uiPriority w:val="99"/>
    <w:semiHidden/>
    <w:unhideWhenUsed/>
    <w:rsid w:val="00364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7F0"/>
    <w:rPr>
      <w:rFonts w:ascii="Tahoma" w:hAnsi="Tahoma" w:cs="Tahoma"/>
      <w:sz w:val="16"/>
      <w:szCs w:val="16"/>
    </w:rPr>
  </w:style>
  <w:style w:type="table" w:styleId="TableGrid">
    <w:name w:val="Table Grid"/>
    <w:basedOn w:val="TableNormal"/>
    <w:uiPriority w:val="59"/>
    <w:rsid w:val="00364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74F2"/>
    <w:rPr>
      <w:rFonts w:ascii="Arial" w:eastAsiaTheme="majorEastAsia" w:hAnsi="Arial" w:cs="Arial"/>
      <w:b/>
      <w:bCs/>
      <w:color w:val="002060"/>
      <w:sz w:val="28"/>
      <w:szCs w:val="40"/>
    </w:rPr>
  </w:style>
  <w:style w:type="paragraph" w:styleId="NoSpacing">
    <w:name w:val="No Spacing"/>
    <w:link w:val="NoSpacingChar"/>
    <w:uiPriority w:val="1"/>
    <w:rsid w:val="00C37BF3"/>
    <w:pPr>
      <w:widowControl/>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37BF3"/>
    <w:rPr>
      <w:rFonts w:eastAsiaTheme="minorEastAsia"/>
      <w:lang w:val="en-US" w:eastAsia="ja-JP"/>
    </w:rPr>
  </w:style>
  <w:style w:type="paragraph" w:customStyle="1" w:styleId="Default">
    <w:name w:val="Default"/>
    <w:rsid w:val="00D30E79"/>
    <w:pPr>
      <w:widowControl/>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D30E79"/>
    <w:pPr>
      <w:ind w:left="720"/>
      <w:contextualSpacing/>
    </w:pPr>
  </w:style>
  <w:style w:type="paragraph" w:styleId="Title">
    <w:name w:val="Title"/>
    <w:basedOn w:val="NoSpacing"/>
    <w:next w:val="Normal"/>
    <w:link w:val="TitleChar"/>
    <w:uiPriority w:val="10"/>
    <w:qFormat/>
    <w:rsid w:val="000874F2"/>
    <w:pPr>
      <w:framePr w:hSpace="187" w:wrap="around" w:vAnchor="page" w:hAnchor="margin" w:y="4901"/>
    </w:pPr>
    <w:rPr>
      <w:rFonts w:ascii="Arial" w:eastAsiaTheme="majorEastAsia" w:hAnsi="Arial" w:cs="Arial"/>
      <w:b/>
      <w:color w:val="06A6CE"/>
      <w:sz w:val="96"/>
      <w:szCs w:val="96"/>
    </w:rPr>
  </w:style>
  <w:style w:type="character" w:customStyle="1" w:styleId="TitleChar">
    <w:name w:val="Title Char"/>
    <w:basedOn w:val="DefaultParagraphFont"/>
    <w:link w:val="Title"/>
    <w:uiPriority w:val="10"/>
    <w:rsid w:val="000874F2"/>
    <w:rPr>
      <w:rFonts w:ascii="Arial" w:eastAsiaTheme="majorEastAsia" w:hAnsi="Arial" w:cs="Arial"/>
      <w:b/>
      <w:color w:val="06A6CE"/>
      <w:sz w:val="96"/>
      <w:szCs w:val="96"/>
      <w:lang w:val="en-US" w:eastAsia="ja-JP"/>
    </w:rPr>
  </w:style>
  <w:style w:type="character" w:customStyle="1" w:styleId="Heading2Char">
    <w:name w:val="Heading 2 Char"/>
    <w:basedOn w:val="DefaultParagraphFont"/>
    <w:link w:val="Heading2"/>
    <w:uiPriority w:val="9"/>
    <w:rsid w:val="000874F2"/>
    <w:rPr>
      <w:rFonts w:ascii="Arial" w:eastAsia="Times New Roman" w:hAnsi="Arial" w:cs="Arial"/>
      <w:b/>
      <w:bCs/>
      <w:color w:val="000000"/>
      <w:sz w:val="24"/>
      <w:szCs w:val="24"/>
      <w:lang w:val="en-US" w:eastAsia="en-GB"/>
    </w:rPr>
  </w:style>
  <w:style w:type="character" w:customStyle="1" w:styleId="A3">
    <w:name w:val="A3"/>
    <w:rsid w:val="00F3659C"/>
    <w:rPr>
      <w:rFonts w:ascii="GillSans" w:hAnsi="GillSans" w:cs="GillSans" w:hint="default"/>
      <w:color w:val="000000"/>
      <w:sz w:val="20"/>
      <w:szCs w:val="20"/>
    </w:rPr>
  </w:style>
  <w:style w:type="paragraph" w:customStyle="1" w:styleId="Body">
    <w:name w:val="Body"/>
    <w:basedOn w:val="Default"/>
    <w:qFormat/>
    <w:rsid w:val="000E3597"/>
    <w:pPr>
      <w:spacing w:before="120" w:afterLines="120" w:after="288" w:line="300" w:lineRule="atLeast"/>
      <w:ind w:left="567" w:hanging="567"/>
    </w:pPr>
    <w:rPr>
      <w:bCs/>
      <w:color w:val="auto"/>
      <w:sz w:val="22"/>
      <w:szCs w:val="22"/>
      <w:lang w:val="en-US"/>
    </w:rPr>
  </w:style>
  <w:style w:type="character" w:styleId="Emphasis">
    <w:name w:val="Emphasis"/>
    <w:aliases w:val="Bullets"/>
    <w:basedOn w:val="DefaultParagraphFont"/>
    <w:uiPriority w:val="20"/>
    <w:qFormat/>
    <w:rsid w:val="005124FE"/>
    <w:rPr>
      <w:rFonts w:eastAsia="Arial"/>
    </w:rPr>
  </w:style>
  <w:style w:type="character" w:styleId="IntenseEmphasis">
    <w:name w:val="Intense Emphasis"/>
    <w:basedOn w:val="DefaultParagraphFont"/>
    <w:uiPriority w:val="21"/>
    <w:qFormat/>
    <w:rsid w:val="007E4BDF"/>
    <w:rPr>
      <w:b/>
      <w:bCs/>
      <w:i/>
      <w:iCs/>
      <w:color w:val="4F81BD" w:themeColor="accent1"/>
    </w:rPr>
  </w:style>
  <w:style w:type="paragraph" w:customStyle="1" w:styleId="Subheading">
    <w:name w:val="Subheading"/>
    <w:basedOn w:val="Default"/>
    <w:qFormat/>
    <w:rsid w:val="007E4BDF"/>
    <w:pPr>
      <w:spacing w:after="120"/>
      <w:ind w:left="567" w:hanging="567"/>
    </w:pPr>
    <w:rPr>
      <w:b/>
      <w:bCs/>
      <w:lang w:val="en-US"/>
    </w:rPr>
  </w:style>
  <w:style w:type="character" w:customStyle="1" w:styleId="Heading3Char">
    <w:name w:val="Heading 3 Char"/>
    <w:basedOn w:val="DefaultParagraphFont"/>
    <w:link w:val="Heading3"/>
    <w:uiPriority w:val="9"/>
    <w:semiHidden/>
    <w:rsid w:val="0072782E"/>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72782E"/>
    <w:rPr>
      <w:rFonts w:eastAsiaTheme="minorEastAsia"/>
      <w:b/>
      <w:bCs/>
      <w:sz w:val="28"/>
      <w:szCs w:val="28"/>
      <w:lang w:val="en-US"/>
    </w:rPr>
  </w:style>
  <w:style w:type="character" w:customStyle="1" w:styleId="Heading5Char">
    <w:name w:val="Heading 5 Char"/>
    <w:basedOn w:val="DefaultParagraphFont"/>
    <w:link w:val="Heading5"/>
    <w:uiPriority w:val="9"/>
    <w:semiHidden/>
    <w:rsid w:val="0072782E"/>
    <w:rPr>
      <w:rFonts w:eastAsiaTheme="minorEastAsia"/>
      <w:b/>
      <w:bCs/>
      <w:i/>
      <w:iCs/>
      <w:sz w:val="26"/>
      <w:szCs w:val="26"/>
      <w:lang w:val="en-US"/>
    </w:rPr>
  </w:style>
  <w:style w:type="character" w:customStyle="1" w:styleId="Heading6Char">
    <w:name w:val="Heading 6 Char"/>
    <w:basedOn w:val="DefaultParagraphFont"/>
    <w:link w:val="Heading6"/>
    <w:rsid w:val="0072782E"/>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2782E"/>
    <w:rPr>
      <w:rFonts w:eastAsiaTheme="minorEastAsia"/>
      <w:sz w:val="24"/>
      <w:szCs w:val="24"/>
      <w:lang w:val="en-US"/>
    </w:rPr>
  </w:style>
  <w:style w:type="character" w:customStyle="1" w:styleId="Heading8Char">
    <w:name w:val="Heading 8 Char"/>
    <w:basedOn w:val="DefaultParagraphFont"/>
    <w:link w:val="Heading8"/>
    <w:uiPriority w:val="9"/>
    <w:semiHidden/>
    <w:rsid w:val="0072782E"/>
    <w:rPr>
      <w:rFonts w:eastAsiaTheme="minorEastAsia"/>
      <w:i/>
      <w:iCs/>
      <w:sz w:val="24"/>
      <w:szCs w:val="24"/>
      <w:lang w:val="en-US"/>
    </w:rPr>
  </w:style>
  <w:style w:type="character" w:customStyle="1" w:styleId="Heading9Char">
    <w:name w:val="Heading 9 Char"/>
    <w:basedOn w:val="DefaultParagraphFont"/>
    <w:link w:val="Heading9"/>
    <w:uiPriority w:val="9"/>
    <w:semiHidden/>
    <w:rsid w:val="0072782E"/>
    <w:rPr>
      <w:rFonts w:asciiTheme="majorHAnsi" w:eastAsiaTheme="majorEastAsia" w:hAnsiTheme="majorHAnsi" w:cstheme="majorBidi"/>
      <w:lang w:val="en-US"/>
    </w:rPr>
  </w:style>
  <w:style w:type="paragraph" w:customStyle="1" w:styleId="Enhanced">
    <w:name w:val="Enhanced"/>
    <w:basedOn w:val="Body"/>
    <w:qFormat/>
    <w:rsid w:val="0072782E"/>
    <w:pPr>
      <w:spacing w:afterLines="50" w:after="120"/>
      <w:ind w:firstLine="0"/>
    </w:pPr>
    <w:rPr>
      <w:rFonts w:eastAsia="Arial"/>
      <w:b/>
      <w:i/>
    </w:rPr>
  </w:style>
  <w:style w:type="paragraph" w:customStyle="1" w:styleId="Bullets2">
    <w:name w:val="Bullets 2"/>
    <w:basedOn w:val="Body"/>
    <w:qFormat/>
    <w:rsid w:val="005124FE"/>
    <w:pPr>
      <w:numPr>
        <w:numId w:val="1"/>
      </w:numPr>
      <w:spacing w:afterLines="0" w:after="80" w:line="240" w:lineRule="auto"/>
      <w:ind w:left="851" w:hanging="284"/>
    </w:pPr>
  </w:style>
  <w:style w:type="numbering" w:customStyle="1" w:styleId="Style1">
    <w:name w:val="Style1"/>
    <w:uiPriority w:val="99"/>
    <w:rsid w:val="000B387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89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Lettings\Lettings%20-%20Current\NEW%20PROCESS%20FROM%20MAY%202016\Policies%20and%20Proceedures\Alloc%20and%20Transfer%20policy%20review%202017\Draft%20NEW%20PA%20Housing%20Allocations%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C85CE9FD7BE468C8A30CF4A8CC483" ma:contentTypeVersion="2" ma:contentTypeDescription="Create a new document." ma:contentTypeScope="" ma:versionID="29d874a8476a2f5629998bf2cefc155e">
  <xsd:schema xmlns:xsd="http://www.w3.org/2001/XMLSchema" xmlns:xs="http://www.w3.org/2001/XMLSchema" xmlns:p="http://schemas.microsoft.com/office/2006/metadata/properties" xmlns:ns1="http://schemas.microsoft.com/sharepoint/v3" xmlns:ns2="e6ba3044-c09f-4cda-921d-1a167ea4ddd2" targetNamespace="http://schemas.microsoft.com/office/2006/metadata/properties" ma:root="true" ma:fieldsID="9712ac44d29ce1a9da37688c7b6a7b4d" ns1:_="" ns2:_="">
    <xsd:import namespace="http://schemas.microsoft.com/sharepoint/v3"/>
    <xsd:import namespace="e6ba3044-c09f-4cda-921d-1a167ea4ddd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ba3044-c09f-4cda-921d-1a167ea4ddd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7B302-AFC7-4004-8A09-5FBB2C4E3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ba3044-c09f-4cda-921d-1a167ea4d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61AA48-82EA-4047-8C72-6928EB2C154C}">
  <ds:schemaRefs>
    <ds:schemaRef ds:uri="http://schemas.microsoft.com/sharepoint/v3"/>
    <ds:schemaRef ds:uri="http://www.w3.org/XML/1998/namespace"/>
    <ds:schemaRef ds:uri="http://schemas.openxmlformats.org/package/2006/metadata/core-properties"/>
    <ds:schemaRef ds:uri="http://schemas.microsoft.com/office/infopath/2007/PartnerControls"/>
    <ds:schemaRef ds:uri="e6ba3044-c09f-4cda-921d-1a167ea4ddd2"/>
    <ds:schemaRef ds:uri="http://schemas.microsoft.com/office/2006/documentManagement/types"/>
    <ds:schemaRef ds:uri="http://schemas.microsoft.com/office/2006/metadata/properties"/>
    <ds:schemaRef ds:uri="http://purl.org/dc/dcmitype/"/>
    <ds:schemaRef ds:uri="http://purl.org/dc/terms/"/>
    <ds:schemaRef ds:uri="http://purl.org/dc/elements/1.1/"/>
  </ds:schemaRefs>
</ds:datastoreItem>
</file>

<file path=customXml/itemProps3.xml><?xml version="1.0" encoding="utf-8"?>
<ds:datastoreItem xmlns:ds="http://schemas.openxmlformats.org/officeDocument/2006/customXml" ds:itemID="{C68F9DB4-9B6E-4221-8DEB-45FD7677FB6C}">
  <ds:schemaRefs>
    <ds:schemaRef ds:uri="http://schemas.microsoft.com/sharepoint/v3/contenttype/forms"/>
  </ds:schemaRefs>
</ds:datastoreItem>
</file>

<file path=customXml/itemProps4.xml><?xml version="1.0" encoding="utf-8"?>
<ds:datastoreItem xmlns:ds="http://schemas.openxmlformats.org/officeDocument/2006/customXml" ds:itemID="{0ECA7946-F505-4925-B1A5-931B00A9B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NEW PA Housing Allocations Policy.dotx</Template>
  <TotalTime>1</TotalTime>
  <Pages>17</Pages>
  <Words>5772</Words>
  <Characters>32905</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PA Housing Allocations Policy</vt:lpstr>
    </vt:vector>
  </TitlesOfParts>
  <Company>Paragon Asra Housing Limited</Company>
  <LinksUpToDate>false</LinksUpToDate>
  <CharactersWithSpaces>38600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Housing Allocations Policy</dc:title>
  <dc:subject>June 2017</dc:subject>
  <dc:creator>Anna Henderson</dc:creator>
  <cp:lastModifiedBy>Caroline Simpson</cp:lastModifiedBy>
  <cp:revision>2</cp:revision>
  <dcterms:created xsi:type="dcterms:W3CDTF">2017-12-11T15:11:00Z</dcterms:created>
  <dcterms:modified xsi:type="dcterms:W3CDTF">2017-12-11T15:11:00Z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183834</vt:lpwstr>
  </property>
  <property fmtid="{D5CDD505-2E9C-101B-9397-08002B2CF9AE}" pid="3" name="NXPowerLiteSettings">
    <vt:lpwstr>C74006B004C800</vt:lpwstr>
  </property>
  <property fmtid="{D5CDD505-2E9C-101B-9397-08002B2CF9AE}" pid="4" name="NXPowerLiteVersion">
    <vt:lpwstr>S5.1.5</vt:lpwstr>
  </property>
  <property fmtid="{D5CDD505-2E9C-101B-9397-08002B2CF9AE}" pid="5" name="ContentTypeId">
    <vt:lpwstr>0x0101004C3C85CE9FD7BE468C8A30CF4A8CC483</vt:lpwstr>
  </property>
</Properties>
</file>